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hint="eastAsia" w:eastAsia="方正小标宋简体"/>
          <w:sz w:val="44"/>
          <w:szCs w:val="44"/>
        </w:rPr>
      </w:pPr>
      <w:r>
        <w:rPr>
          <w:rFonts w:eastAsia="方正小标宋简体"/>
          <w:sz w:val="44"/>
          <w:szCs w:val="44"/>
        </w:rPr>
        <w:t>高青县住房和城乡建设局</w:t>
      </w:r>
    </w:p>
    <w:p>
      <w:pPr>
        <w:spacing w:line="560" w:lineRule="exact"/>
        <w:ind w:firstLine="0"/>
        <w:jc w:val="center"/>
        <w:rPr>
          <w:rFonts w:eastAsia="方正小标宋简体"/>
          <w:sz w:val="44"/>
          <w:szCs w:val="44"/>
        </w:rPr>
      </w:pPr>
      <w:r>
        <w:rPr>
          <w:rFonts w:eastAsia="方正小标宋简体"/>
          <w:sz w:val="44"/>
          <w:szCs w:val="44"/>
        </w:rPr>
        <w:t>2023年政府信息公开工作年度报告</w:t>
      </w:r>
    </w:p>
    <w:p>
      <w:pPr>
        <w:spacing w:line="560" w:lineRule="exact"/>
        <w:ind w:firstLine="640"/>
        <w:rPr>
          <w:rFonts w:eastAsia="仿宋_GB2312"/>
        </w:rPr>
      </w:pPr>
    </w:p>
    <w:p>
      <w:pPr>
        <w:spacing w:line="560" w:lineRule="exact"/>
        <w:ind w:firstLine="640" w:firstLineChars="200"/>
        <w:rPr>
          <w:rFonts w:eastAsia="仿宋_GB2312"/>
          <w:szCs w:val="32"/>
        </w:rPr>
      </w:pPr>
      <w:r>
        <w:rPr>
          <w:rFonts w:eastAsia="仿宋_GB231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pPr>
        <w:spacing w:line="560" w:lineRule="exact"/>
        <w:ind w:firstLine="640" w:firstLineChars="200"/>
        <w:rPr>
          <w:rFonts w:eastAsia="仿宋_GB2312"/>
          <w:szCs w:val="32"/>
        </w:rPr>
      </w:pPr>
      <w:r>
        <w:rPr>
          <w:rFonts w:eastAsia="仿宋_GB2312"/>
          <w:szCs w:val="32"/>
        </w:rPr>
        <w:t>报告中所列数据统计期限自2023年1月1日始，至2023年12月31日止。报告电子版可在高青县人民政府门户网站（www.gaoqing.gov.cn）查阅和下载。如对报告内容有疑问，请与高青县住房和城乡建设局办公室联系（地址：山东省淄博市高青县高苑路30号；邮编：256300；电话：0533-6962070；邮箱：gqxjsj@zb.shandong.cn）。</w:t>
      </w:r>
    </w:p>
    <w:p>
      <w:pPr>
        <w:spacing w:line="560" w:lineRule="exact"/>
        <w:ind w:firstLine="640" w:firstLineChars="200"/>
        <w:rPr>
          <w:rFonts w:eastAsia="黑体"/>
          <w:szCs w:val="32"/>
        </w:rPr>
      </w:pPr>
      <w:r>
        <w:rPr>
          <w:rFonts w:eastAsia="黑体"/>
          <w:szCs w:val="32"/>
        </w:rPr>
        <w:t>一、总体情况</w:t>
      </w:r>
    </w:p>
    <w:p>
      <w:pPr>
        <w:spacing w:line="560" w:lineRule="exact"/>
        <w:ind w:firstLine="640" w:firstLineChars="200"/>
        <w:rPr>
          <w:rFonts w:eastAsia="仿宋_GB2312"/>
          <w:szCs w:val="32"/>
        </w:rPr>
      </w:pPr>
      <w:r>
        <w:rPr>
          <w:rFonts w:eastAsia="仿宋_GB2312"/>
          <w:szCs w:val="32"/>
        </w:rPr>
        <w:t>2023年，</w:t>
      </w:r>
      <w:r>
        <w:rPr>
          <w:rFonts w:hint="eastAsia" w:eastAsia="仿宋_GB2312"/>
          <w:szCs w:val="32"/>
        </w:rPr>
        <w:t>高青县住房和城乡建设局</w:t>
      </w:r>
      <w:r>
        <w:rPr>
          <w:rFonts w:eastAsia="仿宋_GB2312"/>
          <w:szCs w:val="32"/>
        </w:rPr>
        <w:t>坚持以习近平新时代中国特色社会主义思想为指导，紧紧围绕</w:t>
      </w:r>
      <w:r>
        <w:rPr>
          <w:rFonts w:hint="eastAsia" w:eastAsia="仿宋_GB2312"/>
          <w:szCs w:val="32"/>
        </w:rPr>
        <w:t>国家和</w:t>
      </w:r>
      <w:r>
        <w:rPr>
          <w:rFonts w:eastAsia="仿宋_GB2312"/>
          <w:szCs w:val="32"/>
        </w:rPr>
        <w:t>省市县关于推进政务公开工作部署，加强政府信息公开的力度和时效，着力提升公开质量，全面推进</w:t>
      </w:r>
      <w:r>
        <w:rPr>
          <w:rFonts w:hint="eastAsia" w:eastAsia="仿宋_GB2312"/>
          <w:szCs w:val="32"/>
        </w:rPr>
        <w:t>政务</w:t>
      </w:r>
      <w:r>
        <w:rPr>
          <w:rFonts w:eastAsia="仿宋_GB2312"/>
          <w:szCs w:val="32"/>
        </w:rPr>
        <w:t>公开工作。</w:t>
      </w:r>
    </w:p>
    <w:p>
      <w:pPr>
        <w:spacing w:line="560" w:lineRule="exact"/>
        <w:ind w:firstLine="640" w:firstLineChars="200"/>
        <w:jc w:val="left"/>
        <w:rPr>
          <w:rFonts w:eastAsia="楷体_GB2312"/>
          <w:szCs w:val="32"/>
        </w:rPr>
      </w:pPr>
      <w:r>
        <w:rPr>
          <w:rFonts w:eastAsia="楷体_GB2312"/>
          <w:szCs w:val="32"/>
        </w:rPr>
        <w:t>（一）主动公开</w:t>
      </w:r>
    </w:p>
    <w:p>
      <w:pPr>
        <w:spacing w:line="560" w:lineRule="exact"/>
        <w:ind w:firstLine="640" w:firstLineChars="200"/>
        <w:rPr>
          <w:rFonts w:eastAsia="仿宋_GB2312"/>
          <w:szCs w:val="32"/>
          <w:highlight w:val="yellow"/>
        </w:rPr>
      </w:pPr>
      <w:r>
        <w:rPr>
          <w:rFonts w:eastAsia="仿宋_GB2312"/>
          <w:szCs w:val="32"/>
        </w:rPr>
        <w:t>按照“以公开为常态，不公开为例外”的要求，</w:t>
      </w:r>
      <w:r>
        <w:rPr>
          <w:rFonts w:hint="eastAsia" w:eastAsia="仿宋_GB2312"/>
          <w:szCs w:val="32"/>
        </w:rPr>
        <w:t>常态化做好政府信息主动公开，强化问题自查，提高信息公开“含金量”。加强重大项目、重大决策等重点领域信息公开；深入推进公共企事业单位信息公开规范化，做好2家供热企业、1家供气企业信息公开。</w:t>
      </w:r>
      <w:r>
        <w:rPr>
          <w:rFonts w:eastAsia="仿宋_GB2312"/>
          <w:szCs w:val="32"/>
        </w:rPr>
        <w:t>202</w:t>
      </w:r>
      <w:r>
        <w:rPr>
          <w:rFonts w:hint="eastAsia" w:eastAsia="仿宋_GB2312"/>
          <w:szCs w:val="32"/>
        </w:rPr>
        <w:t>3</w:t>
      </w:r>
      <w:r>
        <w:rPr>
          <w:rFonts w:eastAsia="仿宋_GB2312"/>
          <w:szCs w:val="32"/>
        </w:rPr>
        <w:t>年累计公开信息</w:t>
      </w:r>
      <w:r>
        <w:rPr>
          <w:rFonts w:hint="eastAsia" w:eastAsia="仿宋_GB2312"/>
          <w:szCs w:val="32"/>
        </w:rPr>
        <w:t>200</w:t>
      </w:r>
      <w:r>
        <w:rPr>
          <w:rFonts w:eastAsia="仿宋_GB2312"/>
          <w:szCs w:val="32"/>
        </w:rPr>
        <w:t>余条，</w:t>
      </w:r>
      <w:r>
        <w:rPr>
          <w:rFonts w:hint="eastAsia" w:eastAsia="仿宋_GB2312"/>
          <w:szCs w:val="32"/>
        </w:rPr>
        <w:t>与上年度基本持平</w:t>
      </w:r>
      <w:r>
        <w:rPr>
          <w:rFonts w:eastAsia="仿宋_GB2312"/>
          <w:szCs w:val="32"/>
        </w:rPr>
        <w:t>，其中通过政府网站公开信息</w:t>
      </w:r>
      <w:r>
        <w:rPr>
          <w:rFonts w:hint="eastAsia" w:eastAsia="仿宋_GB2312"/>
          <w:szCs w:val="32"/>
        </w:rPr>
        <w:t>100</w:t>
      </w:r>
      <w:r>
        <w:rPr>
          <w:rFonts w:eastAsia="仿宋_GB2312"/>
          <w:szCs w:val="32"/>
        </w:rPr>
        <w:t>余条，通过政务新媒体和其他方式公开信息</w:t>
      </w:r>
      <w:r>
        <w:rPr>
          <w:rFonts w:hint="eastAsia" w:eastAsia="仿宋_GB2312"/>
          <w:szCs w:val="32"/>
        </w:rPr>
        <w:t>100</w:t>
      </w:r>
      <w:r>
        <w:rPr>
          <w:rFonts w:eastAsia="仿宋_GB2312"/>
          <w:szCs w:val="32"/>
        </w:rPr>
        <w:t>余条。</w:t>
      </w:r>
      <w:r>
        <w:rPr>
          <w:rFonts w:hint="eastAsia" w:eastAsia="仿宋_GB2312"/>
          <w:szCs w:val="32"/>
        </w:rPr>
        <w:t>加强政策解读力度，发布解读材料2篇。</w:t>
      </w:r>
    </w:p>
    <w:p>
      <w:pPr>
        <w:spacing w:line="240" w:lineRule="auto"/>
        <w:ind w:firstLine="640"/>
        <w:jc w:val="center"/>
        <w:rPr>
          <w:rFonts w:eastAsia="仿宋_GB2312"/>
          <w:szCs w:val="32"/>
        </w:rPr>
      </w:pPr>
      <w:r>
        <w:rPr>
          <w:rFonts w:hint="eastAsia" w:eastAsia="仿宋_GB2312"/>
          <w:szCs w:val="32"/>
        </w:rPr>
        <w:drawing>
          <wp:inline distT="0" distB="0" distL="114300" distR="114300">
            <wp:extent cx="4839970" cy="2755265"/>
            <wp:effectExtent l="0" t="0" r="17780"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839970" cy="2755265"/>
                    </a:xfrm>
                    <a:prstGeom prst="rect">
                      <a:avLst/>
                    </a:prstGeom>
                  </pic:spPr>
                </pic:pic>
              </a:graphicData>
            </a:graphic>
          </wp:inline>
        </w:drawing>
      </w:r>
    </w:p>
    <w:p>
      <w:pPr>
        <w:spacing w:line="560" w:lineRule="exact"/>
        <w:ind w:firstLine="640" w:firstLineChars="200"/>
        <w:jc w:val="left"/>
        <w:rPr>
          <w:rFonts w:eastAsia="楷体_GB2312"/>
          <w:szCs w:val="32"/>
        </w:rPr>
      </w:pPr>
      <w:r>
        <w:rPr>
          <w:rFonts w:eastAsia="楷体_GB2312"/>
          <w:szCs w:val="32"/>
        </w:rPr>
        <w:t>（二）依申请公开</w:t>
      </w:r>
    </w:p>
    <w:p>
      <w:pPr>
        <w:spacing w:line="560" w:lineRule="exact"/>
        <w:ind w:firstLine="640" w:firstLineChars="200"/>
        <w:rPr>
          <w:rFonts w:eastAsia="仿宋_GB2312"/>
          <w:szCs w:val="32"/>
        </w:rPr>
      </w:pPr>
      <w:r>
        <w:rPr>
          <w:rFonts w:hint="eastAsia" w:eastAsia="仿宋_GB2312"/>
          <w:szCs w:val="32"/>
        </w:rPr>
        <w:t>依法依规做好政府信息公开申请办理，加强科室间协作，实行疑难问题会商机制，提高依申请办理质量。2023年共收到政府信息公开申请6件，比上年度减少15件，申请内容主要涉及商品房销售、老旧小区改造等领域。作出政府信息公开申请答复7件（含上年结转1件），其中予以公开1件、部分公开3件、无法提供3件。未因政府信息公开被申请行政复议、提起行政诉讼。</w:t>
      </w:r>
    </w:p>
    <w:p>
      <w:pPr>
        <w:spacing w:line="560" w:lineRule="exact"/>
        <w:ind w:firstLine="640" w:firstLineChars="200"/>
        <w:rPr>
          <w:rFonts w:eastAsia="楷体_GB2312"/>
          <w:szCs w:val="32"/>
        </w:rPr>
      </w:pPr>
      <w:r>
        <w:rPr>
          <w:rFonts w:eastAsia="楷体_GB2312"/>
          <w:szCs w:val="32"/>
        </w:rPr>
        <w:t>（三）政府信息管理</w:t>
      </w:r>
    </w:p>
    <w:p>
      <w:pPr>
        <w:spacing w:line="560" w:lineRule="exact"/>
        <w:ind w:firstLine="640" w:firstLineChars="200"/>
        <w:jc w:val="left"/>
        <w:rPr>
          <w:rFonts w:eastAsia="仿宋_GB2312"/>
          <w:szCs w:val="32"/>
        </w:rPr>
      </w:pPr>
      <w:r>
        <w:rPr>
          <w:rFonts w:hint="eastAsia" w:eastAsia="仿宋_GB2312"/>
          <w:szCs w:val="32"/>
        </w:rPr>
        <w:t>加强政府信息全生命周期管理，按照“谁审核、谁负责”“先审核、后公开”的原则，做好信息制作、流转、公开、失效各环节审核，对拟公开的信息经分管负责人审核无误后予以公开，对失效信息及时做好有效性标注。严格信息公开保密审查，由单位负责保密工作的专人审核，确保不发生因信息公开出现的泄密事件。</w:t>
      </w:r>
    </w:p>
    <w:p>
      <w:pPr>
        <w:spacing w:line="560" w:lineRule="exact"/>
        <w:ind w:firstLine="640" w:firstLineChars="200"/>
        <w:jc w:val="left"/>
        <w:rPr>
          <w:rFonts w:eastAsia="楷体_GB2312"/>
          <w:szCs w:val="32"/>
        </w:rPr>
      </w:pPr>
      <w:r>
        <w:rPr>
          <w:rFonts w:eastAsia="楷体_GB2312"/>
          <w:szCs w:val="32"/>
        </w:rPr>
        <w:t>（四）政府信息公开平台建设</w:t>
      </w:r>
    </w:p>
    <w:p>
      <w:pPr>
        <w:spacing w:line="560" w:lineRule="exact"/>
        <w:ind w:firstLine="640" w:firstLineChars="200"/>
        <w:jc w:val="left"/>
        <w:rPr>
          <w:rFonts w:eastAsia="仿宋_GB2312"/>
          <w:szCs w:val="32"/>
        </w:rPr>
      </w:pPr>
      <w:r>
        <w:rPr>
          <w:rFonts w:hint="eastAsia" w:eastAsia="仿宋_GB2312"/>
          <w:szCs w:val="32"/>
        </w:rPr>
        <w:t>做好政务新媒体平台建设，“高青住建”微信公众号开设“便民查询”栏目，公开高频办理事项的办事指南等信息。持续做好政府网站信息公开第一平台建设，开设“政府会议”</w:t>
      </w:r>
      <w:bookmarkStart w:id="0" w:name="_GoBack"/>
      <w:bookmarkEnd w:id="0"/>
      <w:r>
        <w:rPr>
          <w:rFonts w:hint="eastAsia" w:eastAsia="仿宋_GB2312"/>
          <w:szCs w:val="32"/>
        </w:rPr>
        <w:t>栏目，进一步拓展信息公开内容，及时发布住建领域相关信息，方便群众查阅，提高群众知晓率。</w:t>
      </w:r>
    </w:p>
    <w:p>
      <w:pPr>
        <w:spacing w:line="560" w:lineRule="exact"/>
        <w:ind w:firstLine="640" w:firstLineChars="200"/>
        <w:jc w:val="left"/>
        <w:rPr>
          <w:rFonts w:eastAsia="楷体_GB2312"/>
          <w:szCs w:val="32"/>
        </w:rPr>
      </w:pPr>
      <w:r>
        <w:rPr>
          <w:rFonts w:eastAsia="楷体_GB2312"/>
          <w:szCs w:val="32"/>
        </w:rPr>
        <w:t>（五）监督保障</w:t>
      </w:r>
    </w:p>
    <w:p>
      <w:pPr>
        <w:spacing w:line="560" w:lineRule="exact"/>
        <w:rPr>
          <w:rFonts w:eastAsia="仿宋_GB2312"/>
          <w:szCs w:val="32"/>
        </w:rPr>
      </w:pPr>
      <w:r>
        <w:rPr>
          <w:rFonts w:hint="eastAsia" w:eastAsia="仿宋_GB2312"/>
          <w:szCs w:val="32"/>
        </w:rPr>
        <w:t>政务公开领导小组统筹推进政务公开工作，召开2次政务公开专题会议，研究部署重点任务。各科室明确1名工作人员负责政务公开工作。坚持将培训作为做好政务公开工作的抓手，组织开展培训1次，提高了工作人员业务水平。</w:t>
      </w: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hint="eastAsia" w:eastAsia="黑体"/>
          <w:szCs w:val="32"/>
        </w:rPr>
      </w:pPr>
    </w:p>
    <w:p>
      <w:pPr>
        <w:spacing w:after="223" w:afterLines="50" w:line="240" w:lineRule="auto"/>
        <w:ind w:firstLine="640" w:firstLineChars="200"/>
        <w:rPr>
          <w:rFonts w:eastAsia="黑体"/>
          <w:szCs w:val="32"/>
        </w:rPr>
      </w:pPr>
    </w:p>
    <w:p>
      <w:pPr>
        <w:spacing w:after="223" w:afterLines="50" w:line="240" w:lineRule="auto"/>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pPr>
              <w:spacing w:line="240" w:lineRule="auto"/>
              <w:ind w:firstLine="0"/>
              <w:jc w:val="center"/>
              <w:rPr>
                <w:rFonts w:eastAsia="黑体"/>
                <w:sz w:val="20"/>
              </w:rPr>
            </w:pPr>
            <w:r>
              <w:rPr>
                <w:rFonts w:hint="eastAsia" w:eastAsia="黑体"/>
                <w:sz w:val="20"/>
              </w:rPr>
              <w:t>0</w:t>
            </w:r>
          </w:p>
        </w:tc>
        <w:tc>
          <w:tcPr>
            <w:tcW w:w="2131" w:type="dxa"/>
            <w:vAlign w:val="center"/>
          </w:tcPr>
          <w:p>
            <w:pPr>
              <w:spacing w:line="240" w:lineRule="auto"/>
              <w:ind w:firstLine="0"/>
              <w:jc w:val="center"/>
              <w:rPr>
                <w:rFonts w:eastAsia="黑体"/>
                <w:sz w:val="20"/>
              </w:rPr>
            </w:pPr>
            <w:r>
              <w:rPr>
                <w:rFonts w:hint="eastAsia" w:eastAsia="黑体"/>
                <w:sz w:val="20"/>
              </w:rPr>
              <w:t>0</w:t>
            </w:r>
          </w:p>
        </w:tc>
        <w:tc>
          <w:tcPr>
            <w:tcW w:w="2131" w:type="dxa"/>
            <w:vAlign w:val="center"/>
          </w:tcPr>
          <w:p>
            <w:pPr>
              <w:spacing w:line="240" w:lineRule="auto"/>
              <w:ind w:firstLine="0"/>
              <w:jc w:val="center"/>
              <w:rPr>
                <w:rFonts w:eastAsia="黑体"/>
                <w:sz w:val="20"/>
              </w:rPr>
            </w:pPr>
            <w:r>
              <w:rPr>
                <w:rFonts w:hint="eastAsia"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pPr>
              <w:spacing w:line="240" w:lineRule="auto"/>
              <w:ind w:firstLine="0"/>
              <w:jc w:val="center"/>
              <w:rPr>
                <w:rFonts w:eastAsia="黑体"/>
                <w:sz w:val="20"/>
              </w:rPr>
            </w:pPr>
            <w:r>
              <w:rPr>
                <w:rFonts w:hint="eastAsia" w:eastAsia="黑体"/>
                <w:sz w:val="20"/>
              </w:rPr>
              <w:t>0</w:t>
            </w:r>
          </w:p>
        </w:tc>
        <w:tc>
          <w:tcPr>
            <w:tcW w:w="2131" w:type="dxa"/>
            <w:vAlign w:val="center"/>
          </w:tcPr>
          <w:p>
            <w:pPr>
              <w:spacing w:line="240" w:lineRule="auto"/>
              <w:ind w:firstLine="0"/>
              <w:jc w:val="center"/>
              <w:rPr>
                <w:rFonts w:eastAsia="黑体"/>
                <w:sz w:val="20"/>
              </w:rPr>
            </w:pPr>
            <w:r>
              <w:rPr>
                <w:rFonts w:hint="eastAsia" w:eastAsia="黑体"/>
                <w:sz w:val="20"/>
              </w:rPr>
              <w:t>0</w:t>
            </w:r>
          </w:p>
        </w:tc>
        <w:tc>
          <w:tcPr>
            <w:tcW w:w="2131" w:type="dxa"/>
            <w:vAlign w:val="center"/>
          </w:tcPr>
          <w:p>
            <w:pPr>
              <w:spacing w:line="240" w:lineRule="auto"/>
              <w:ind w:firstLine="0"/>
              <w:jc w:val="center"/>
              <w:rPr>
                <w:rFonts w:eastAsia="黑体"/>
                <w:sz w:val="20"/>
              </w:rPr>
            </w:pPr>
            <w:r>
              <w:rPr>
                <w:rFonts w:hint="eastAsia"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pPr>
              <w:spacing w:line="240" w:lineRule="auto"/>
              <w:ind w:firstLine="0"/>
              <w:jc w:val="center"/>
              <w:rPr>
                <w:rFonts w:eastAsia="黑体"/>
                <w:sz w:val="20"/>
              </w:rPr>
            </w:pPr>
            <w:r>
              <w:rPr>
                <w:rFonts w:hint="eastAsia"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pPr>
              <w:spacing w:line="240" w:lineRule="auto"/>
              <w:ind w:firstLine="0"/>
              <w:jc w:val="center"/>
              <w:rPr>
                <w:rFonts w:eastAsia="黑体"/>
                <w:sz w:val="20"/>
              </w:rPr>
            </w:pPr>
            <w:r>
              <w:rPr>
                <w:rFonts w:hint="eastAsia" w:eastAsia="黑体"/>
                <w:sz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pPr>
              <w:spacing w:line="240" w:lineRule="auto"/>
              <w:ind w:firstLine="0"/>
              <w:jc w:val="center"/>
              <w:rPr>
                <w:rFonts w:eastAsia="黑体"/>
                <w:sz w:val="20"/>
              </w:rPr>
            </w:pPr>
            <w:r>
              <w:rPr>
                <w:rFonts w:hint="eastAsia"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pPr>
              <w:spacing w:line="240" w:lineRule="auto"/>
              <w:ind w:firstLine="0"/>
              <w:jc w:val="center"/>
              <w:rPr>
                <w:rFonts w:eastAsia="黑体"/>
                <w:sz w:val="20"/>
              </w:rPr>
            </w:pPr>
            <w:r>
              <w:rPr>
                <w:rFonts w:hint="eastAsia" w:eastAsia="黑体"/>
                <w:sz w:val="20"/>
              </w:rPr>
              <w:t>0</w:t>
            </w:r>
          </w:p>
        </w:tc>
      </w:tr>
    </w:tbl>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line="240" w:lineRule="auto"/>
        <w:ind w:firstLine="600"/>
        <w:rPr>
          <w:rFonts w:eastAsia="黑体"/>
          <w:sz w:val="30"/>
          <w:szCs w:val="30"/>
        </w:rPr>
      </w:pPr>
    </w:p>
    <w:p>
      <w:pPr>
        <w:spacing w:after="223" w:afterLines="50" w:line="240" w:lineRule="auto"/>
        <w:ind w:firstLine="640" w:firstLineChars="200"/>
        <w:rPr>
          <w:rFonts w:eastAsia="黑体"/>
          <w:szCs w:val="32"/>
        </w:rPr>
      </w:pPr>
      <w:r>
        <w:rPr>
          <w:rFonts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320" w:lineRule="exact"/>
              <w:ind w:firstLine="0"/>
              <w:contextualSpacing/>
              <w:jc w:val="left"/>
              <w:rPr>
                <w:rFonts w:eastAsia="宋体"/>
                <w:snapToGrid/>
                <w:sz w:val="20"/>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商业</w:t>
            </w:r>
          </w:p>
          <w:p>
            <w:pPr>
              <w:widowControl/>
              <w:autoSpaceDE/>
              <w:autoSpaceDN/>
              <w:snapToGrid/>
              <w:spacing w:line="320" w:lineRule="exact"/>
              <w:ind w:firstLine="0"/>
              <w:contextualSpacing/>
              <w:jc w:val="center"/>
              <w:rPr>
                <w:rFonts w:eastAsia="宋体"/>
                <w:snapToGrid/>
                <w:sz w:val="20"/>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科研</w:t>
            </w:r>
          </w:p>
          <w:p>
            <w:pPr>
              <w:widowControl/>
              <w:autoSpaceDE/>
              <w:autoSpaceDN/>
              <w:snapToGrid/>
              <w:spacing w:line="320" w:lineRule="exact"/>
              <w:ind w:firstLine="0"/>
              <w:contextualSpacing/>
              <w:jc w:val="center"/>
              <w:rPr>
                <w:rFonts w:eastAsia="宋体"/>
                <w:snapToGrid/>
                <w:sz w:val="20"/>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6</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1</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hint="eastAsia" w:eastAsia="宋体"/>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320" w:lineRule="exact"/>
              <w:ind w:firstLine="0"/>
              <w:contextualSpacing/>
              <w:jc w:val="left"/>
              <w:rPr>
                <w:rFonts w:eastAsia="宋体"/>
                <w:snapToGrid/>
                <w:sz w:val="20"/>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rPr>
                <w:rFonts w:eastAsia="宋体"/>
                <w:snapToGrid/>
                <w:sz w:val="20"/>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rPr>
                <w:rFonts w:eastAsia="宋体"/>
                <w:snapToGrid/>
                <w:sz w:val="20"/>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rPr>
                <w:rFonts w:eastAsia="宋体"/>
                <w:snapToGrid/>
                <w:sz w:val="20"/>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320" w:lineRule="exact"/>
              <w:ind w:firstLine="0"/>
              <w:contextualSpacing/>
              <w:jc w:val="left"/>
              <w:rPr>
                <w:rFonts w:eastAsia="宋体"/>
                <w:snapToGrid/>
                <w:sz w:val="20"/>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7</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7</w:t>
            </w:r>
          </w:p>
        </w:tc>
      </w:tr>
      <w:tr>
        <w:tblPrEx>
          <w:tblCellMar>
            <w:top w:w="0" w:type="dxa"/>
            <w:left w:w="0" w:type="dxa"/>
            <w:bottom w:w="0" w:type="dxa"/>
            <w:right w:w="0" w:type="dxa"/>
          </w:tblCellMar>
        </w:tblPrEx>
        <w:trPr>
          <w:trHeight w:val="60"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left"/>
              <w:rPr>
                <w:rFonts w:eastAsia="宋体"/>
                <w:snapToGrid/>
                <w:sz w:val="20"/>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320" w:lineRule="exact"/>
              <w:ind w:firstLine="0"/>
              <w:contextualSpacing/>
              <w:jc w:val="center"/>
              <w:rPr>
                <w:rFonts w:eastAsia="宋体"/>
                <w:snapToGrid/>
                <w:sz w:val="20"/>
              </w:rPr>
            </w:pPr>
            <w:r>
              <w:rPr>
                <w:rFonts w:eastAsia="宋体"/>
                <w:snapToGrid/>
                <w:sz w:val="20"/>
              </w:rPr>
              <w:t>0</w:t>
            </w:r>
          </w:p>
        </w:tc>
      </w:tr>
    </w:tbl>
    <w:p>
      <w:pPr>
        <w:spacing w:line="240" w:lineRule="auto"/>
        <w:ind w:firstLine="600" w:firstLineChars="200"/>
        <w:rPr>
          <w:rFonts w:eastAsia="黑体"/>
          <w:sz w:val="30"/>
          <w:szCs w:val="30"/>
        </w:rPr>
      </w:pPr>
    </w:p>
    <w:p>
      <w:pPr>
        <w:spacing w:after="223" w:afterLines="50" w:line="240" w:lineRule="auto"/>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bl>
    <w:p>
      <w:pPr>
        <w:spacing w:line="560" w:lineRule="exact"/>
        <w:ind w:firstLine="640" w:firstLineChars="200"/>
        <w:rPr>
          <w:rFonts w:eastAsia="黑体"/>
          <w:szCs w:val="32"/>
        </w:rPr>
      </w:pPr>
      <w:r>
        <w:rPr>
          <w:rFonts w:eastAsia="黑体"/>
          <w:szCs w:val="32"/>
        </w:rPr>
        <w:t>五、存在的主要问题及改进情况</w:t>
      </w:r>
    </w:p>
    <w:p>
      <w:pPr>
        <w:spacing w:line="560" w:lineRule="exact"/>
        <w:ind w:firstLine="640" w:firstLineChars="200"/>
        <w:jc w:val="left"/>
        <w:rPr>
          <w:rFonts w:eastAsia="楷体_GB2312"/>
          <w:szCs w:val="32"/>
        </w:rPr>
      </w:pPr>
      <w:r>
        <w:rPr>
          <w:rFonts w:eastAsia="楷体_GB2312"/>
          <w:szCs w:val="32"/>
        </w:rPr>
        <w:t>（一）存在问题</w:t>
      </w:r>
    </w:p>
    <w:p>
      <w:pPr>
        <w:spacing w:line="560" w:lineRule="exact"/>
        <w:rPr>
          <w:rFonts w:eastAsia="仿宋_GB2312"/>
          <w:szCs w:val="32"/>
        </w:rPr>
      </w:pPr>
      <w:r>
        <w:rPr>
          <w:rFonts w:hint="eastAsia" w:eastAsia="仿宋_GB2312"/>
          <w:szCs w:val="32"/>
        </w:rPr>
        <w:t>一是政务公开工作中对相关业务科室的督促指导力度不够，还需进一步加强。</w:t>
      </w:r>
    </w:p>
    <w:p>
      <w:pPr>
        <w:spacing w:line="560" w:lineRule="exact"/>
        <w:rPr>
          <w:rFonts w:eastAsia="仿宋_GB2312"/>
          <w:szCs w:val="32"/>
        </w:rPr>
      </w:pPr>
      <w:r>
        <w:rPr>
          <w:rFonts w:eastAsia="仿宋_GB2312"/>
          <w:szCs w:val="32"/>
        </w:rPr>
        <w:t>二是</w:t>
      </w:r>
      <w:r>
        <w:rPr>
          <w:rFonts w:hint="eastAsia" w:eastAsia="仿宋_GB2312"/>
          <w:szCs w:val="32"/>
        </w:rPr>
        <w:t>政务公开</w:t>
      </w:r>
      <w:r>
        <w:rPr>
          <w:rFonts w:eastAsia="仿宋_GB2312"/>
          <w:szCs w:val="32"/>
        </w:rPr>
        <w:t>工作长效机制有待完善</w:t>
      </w:r>
      <w:r>
        <w:rPr>
          <w:rFonts w:hint="eastAsia" w:eastAsia="仿宋_GB2312"/>
          <w:szCs w:val="32"/>
        </w:rPr>
        <w:t>，部分领域信息在某一段时间集中公开，没有将工作做在日常，将任务落实到平时，存在集中搞突击的问题。</w:t>
      </w:r>
    </w:p>
    <w:p>
      <w:pPr>
        <w:spacing w:line="560" w:lineRule="exact"/>
        <w:ind w:firstLine="640" w:firstLineChars="200"/>
        <w:jc w:val="left"/>
        <w:rPr>
          <w:rFonts w:eastAsia="仿宋_GB2312"/>
          <w:szCs w:val="32"/>
        </w:rPr>
      </w:pPr>
      <w:r>
        <w:rPr>
          <w:rFonts w:eastAsia="楷体_GB2312"/>
          <w:szCs w:val="32"/>
        </w:rPr>
        <w:t>（二）改进情况</w:t>
      </w:r>
    </w:p>
    <w:p>
      <w:pPr>
        <w:spacing w:line="560" w:lineRule="exact"/>
        <w:rPr>
          <w:rFonts w:eastAsia="仿宋_GB2312"/>
          <w:szCs w:val="32"/>
        </w:rPr>
      </w:pPr>
      <w:r>
        <w:rPr>
          <w:rFonts w:eastAsia="仿宋_GB2312"/>
          <w:szCs w:val="32"/>
        </w:rPr>
        <w:t>一是加大督促</w:t>
      </w:r>
      <w:r>
        <w:rPr>
          <w:rFonts w:hint="eastAsia" w:eastAsia="仿宋_GB2312"/>
          <w:szCs w:val="32"/>
        </w:rPr>
        <w:t>指导</w:t>
      </w:r>
      <w:r>
        <w:rPr>
          <w:rFonts w:eastAsia="仿宋_GB2312"/>
          <w:szCs w:val="32"/>
        </w:rPr>
        <w:t>力度，</w:t>
      </w:r>
      <w:r>
        <w:rPr>
          <w:rFonts w:hint="eastAsia" w:eastAsia="仿宋_GB2312"/>
          <w:szCs w:val="32"/>
        </w:rPr>
        <w:t>通过办公室检查、科室自查等形式，检查信息公开情况，</w:t>
      </w:r>
      <w:r>
        <w:rPr>
          <w:rFonts w:eastAsia="仿宋_GB2312"/>
          <w:szCs w:val="32"/>
        </w:rPr>
        <w:t>督促各</w:t>
      </w:r>
      <w:r>
        <w:rPr>
          <w:rFonts w:hint="eastAsia" w:eastAsia="仿宋_GB2312"/>
          <w:szCs w:val="32"/>
        </w:rPr>
        <w:t>科室</w:t>
      </w:r>
      <w:r>
        <w:rPr>
          <w:rFonts w:eastAsia="仿宋_GB2312"/>
          <w:szCs w:val="32"/>
        </w:rPr>
        <w:t>、下属企事业单位及时、全面、依法公开各类信息</w:t>
      </w:r>
      <w:r>
        <w:rPr>
          <w:rFonts w:hint="eastAsia" w:eastAsia="仿宋_GB2312"/>
          <w:szCs w:val="32"/>
        </w:rPr>
        <w:t>。共开展政务公开问题巡检3次，指导业务科室整改问题20余处。</w:t>
      </w:r>
    </w:p>
    <w:p>
      <w:pPr>
        <w:spacing w:line="560" w:lineRule="exact"/>
        <w:rPr>
          <w:rFonts w:eastAsia="仿宋_GB2312"/>
          <w:szCs w:val="32"/>
        </w:rPr>
      </w:pPr>
      <w:r>
        <w:rPr>
          <w:rFonts w:hint="eastAsia" w:eastAsia="仿宋_GB2312"/>
          <w:szCs w:val="32"/>
        </w:rPr>
        <w:t>二是健全政务公开工作长效机制，明确分管负责人和各科室职责，制定常态化任务清单，将任务分解到具体科室、具体人员，逐项明确公开内容和时限要求。重点建设项目、建议提案办理、双随机一公开等栏目均按照规定时限公开了信息。</w:t>
      </w:r>
    </w:p>
    <w:p>
      <w:pPr>
        <w:spacing w:line="560" w:lineRule="exact"/>
        <w:ind w:firstLine="640" w:firstLineChars="200"/>
        <w:rPr>
          <w:rFonts w:eastAsia="黑体"/>
          <w:szCs w:val="32"/>
        </w:rPr>
      </w:pPr>
      <w:r>
        <w:rPr>
          <w:rFonts w:eastAsia="黑体"/>
          <w:szCs w:val="32"/>
        </w:rPr>
        <w:t>六、其他需要报告的事项</w:t>
      </w:r>
    </w:p>
    <w:p>
      <w:pPr>
        <w:spacing w:line="560" w:lineRule="exact"/>
        <w:ind w:firstLine="640" w:firstLineChars="200"/>
        <w:jc w:val="left"/>
        <w:rPr>
          <w:rFonts w:eastAsia="楷体_GB2312"/>
          <w:szCs w:val="32"/>
        </w:rPr>
      </w:pPr>
      <w:r>
        <w:rPr>
          <w:rFonts w:eastAsia="楷体_GB2312"/>
          <w:szCs w:val="32"/>
        </w:rPr>
        <w:t>（一）政府信息公开信息处理费收取情况</w:t>
      </w:r>
    </w:p>
    <w:p>
      <w:pPr>
        <w:spacing w:line="560" w:lineRule="exact"/>
        <w:ind w:firstLine="640" w:firstLineChars="200"/>
        <w:jc w:val="left"/>
        <w:rPr>
          <w:rFonts w:eastAsia="仿宋_GB2312"/>
          <w:szCs w:val="32"/>
        </w:rPr>
      </w:pPr>
      <w:r>
        <w:rPr>
          <w:rFonts w:hint="eastAsia"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jc w:val="left"/>
        <w:rPr>
          <w:rFonts w:eastAsia="楷体_GB2312"/>
          <w:szCs w:val="32"/>
        </w:rPr>
      </w:pPr>
      <w:r>
        <w:rPr>
          <w:rFonts w:eastAsia="楷体_GB2312"/>
          <w:szCs w:val="32"/>
        </w:rPr>
        <w:t>（二）落实上级年度政务公开工作要点情况</w:t>
      </w:r>
    </w:p>
    <w:p>
      <w:pPr>
        <w:spacing w:line="560" w:lineRule="exact"/>
        <w:rPr>
          <w:rFonts w:eastAsia="仿宋_GB2312"/>
          <w:szCs w:val="32"/>
        </w:rPr>
      </w:pPr>
      <w:r>
        <w:rPr>
          <w:rFonts w:hint="eastAsia" w:eastAsia="仿宋_GB2312"/>
          <w:szCs w:val="32"/>
        </w:rPr>
        <w:t>根据《2023年山东省政务公开工作要点》《2023年淄博市政务公开工作方案》《2023年高青县政务公开工作方案》，制定了《高青县住房和城乡建设局2023年政务公开工作方案》，明确了重点任务、工作标准和完成时限。进一步完善机构职能信息，做好机关简介、领导信息、机构设置、直属单位或下属机构等信息的完善工作，发布信息16条，发布2件政策文件，并做好政策文件解读工作，同时做好住建领域信息的公开工作，做好双随机一公开、市场监管、重大项目招投标、监管、验收等信息20余条</w:t>
      </w:r>
      <w:r>
        <w:rPr>
          <w:rFonts w:eastAsia="仿宋_GB2312"/>
          <w:szCs w:val="32"/>
        </w:rPr>
        <w:t>。</w:t>
      </w:r>
    </w:p>
    <w:p>
      <w:pPr>
        <w:spacing w:line="560" w:lineRule="exact"/>
        <w:ind w:firstLine="640" w:firstLineChars="200"/>
        <w:jc w:val="left"/>
        <w:rPr>
          <w:rFonts w:eastAsia="楷体_GB2312"/>
          <w:szCs w:val="32"/>
        </w:rPr>
      </w:pPr>
      <w:r>
        <w:rPr>
          <w:rFonts w:eastAsia="楷体_GB2312"/>
          <w:szCs w:val="32"/>
        </w:rPr>
        <w:t>（三）人大代表建议和政协提案办理结果公开情况</w:t>
      </w:r>
    </w:p>
    <w:p>
      <w:pPr>
        <w:spacing w:line="560" w:lineRule="exact"/>
        <w:rPr>
          <w:rFonts w:eastAsia="仿宋_GB2312"/>
          <w:szCs w:val="32"/>
        </w:rPr>
      </w:pPr>
      <w:r>
        <w:rPr>
          <w:rFonts w:eastAsia="仿宋_GB2312"/>
          <w:szCs w:val="32"/>
        </w:rPr>
        <w:t>202</w:t>
      </w:r>
      <w:r>
        <w:rPr>
          <w:rFonts w:hint="eastAsia" w:eastAsia="仿宋_GB2312"/>
          <w:szCs w:val="32"/>
        </w:rPr>
        <w:t>3</w:t>
      </w:r>
      <w:r>
        <w:rPr>
          <w:rFonts w:eastAsia="仿宋_GB2312"/>
          <w:szCs w:val="32"/>
        </w:rPr>
        <w:t>年本机关共承办县十八届人大</w:t>
      </w:r>
      <w:r>
        <w:rPr>
          <w:rFonts w:hint="eastAsia" w:eastAsia="仿宋_GB2312"/>
          <w:szCs w:val="32"/>
        </w:rPr>
        <w:t>二</w:t>
      </w:r>
      <w:r>
        <w:rPr>
          <w:rFonts w:eastAsia="仿宋_GB2312"/>
          <w:szCs w:val="32"/>
        </w:rPr>
        <w:t>次会议建议</w:t>
      </w:r>
      <w:r>
        <w:rPr>
          <w:rFonts w:hint="eastAsia" w:eastAsia="仿宋_GB2312"/>
          <w:szCs w:val="32"/>
        </w:rPr>
        <w:t>7</w:t>
      </w:r>
      <w:r>
        <w:rPr>
          <w:rFonts w:eastAsia="仿宋_GB2312"/>
          <w:szCs w:val="32"/>
        </w:rPr>
        <w:t>件，承办县政协十五届</w:t>
      </w:r>
      <w:r>
        <w:rPr>
          <w:rFonts w:hint="eastAsia" w:eastAsia="仿宋_GB2312"/>
          <w:szCs w:val="32"/>
        </w:rPr>
        <w:t>二</w:t>
      </w:r>
      <w:r>
        <w:rPr>
          <w:rFonts w:eastAsia="仿宋_GB2312"/>
          <w:szCs w:val="32"/>
        </w:rPr>
        <w:t>次会议提案</w:t>
      </w:r>
      <w:r>
        <w:rPr>
          <w:rFonts w:hint="eastAsia" w:eastAsia="仿宋_GB2312"/>
          <w:szCs w:val="32"/>
        </w:rPr>
        <w:t>9</w:t>
      </w:r>
      <w:r>
        <w:rPr>
          <w:rFonts w:eastAsia="仿宋_GB2312"/>
          <w:szCs w:val="32"/>
        </w:rPr>
        <w:t>件，办复率均为100%。除涉及国家秘密、工作秘密的，所有建议提案办理复文或摘要以及办理总体情况均在县政府门户网站建议提案办理专题中予以公开。</w:t>
      </w:r>
    </w:p>
    <w:p>
      <w:pPr>
        <w:spacing w:line="560" w:lineRule="exact"/>
        <w:ind w:firstLine="640" w:firstLineChars="200"/>
        <w:jc w:val="left"/>
        <w:rPr>
          <w:rFonts w:eastAsia="楷体_GB2312"/>
          <w:szCs w:val="32"/>
        </w:rPr>
      </w:pPr>
      <w:r>
        <w:rPr>
          <w:rFonts w:eastAsia="楷体_GB2312"/>
          <w:szCs w:val="32"/>
        </w:rPr>
        <w:t>（四）政务公开工作创新情况</w:t>
      </w:r>
    </w:p>
    <w:p>
      <w:pPr>
        <w:spacing w:line="560" w:lineRule="exact"/>
        <w:rPr>
          <w:rFonts w:eastAsia="仿宋_GB2312"/>
          <w:szCs w:val="32"/>
        </w:rPr>
      </w:pPr>
      <w:r>
        <w:rPr>
          <w:rFonts w:hint="eastAsia" w:eastAsia="仿宋_GB2312"/>
          <w:szCs w:val="32"/>
        </w:rPr>
        <w:t>多渠道拓展信息公开平台，畅通公开路径，拓宽公开广度，结合微信公众号，深化公开工作，做到第一时间、更多维度推送公开信息，形成良性互动，助力完善政务公开体系化建设，倾听群众诉求、解决群众问题、化解群众烦忧。</w:t>
      </w:r>
    </w:p>
    <w:p>
      <w:pPr>
        <w:spacing w:line="560" w:lineRule="exact"/>
        <w:ind w:firstLine="640" w:firstLineChars="200"/>
        <w:jc w:val="left"/>
        <w:rPr>
          <w:rFonts w:eastAsia="楷体_GB2312"/>
          <w:sz w:val="30"/>
          <w:szCs w:val="30"/>
        </w:rPr>
      </w:pPr>
      <w:r>
        <w:rPr>
          <w:rFonts w:eastAsia="楷体_GB2312"/>
          <w:szCs w:val="32"/>
        </w:rPr>
        <w:t>（五）有关数据统计说明</w:t>
      </w:r>
    </w:p>
    <w:p>
      <w:pPr>
        <w:spacing w:line="560" w:lineRule="exact"/>
        <w:rPr>
          <w:rFonts w:eastAsia="仿宋_GB2312"/>
          <w:szCs w:val="32"/>
        </w:rPr>
      </w:pPr>
      <w:r>
        <w:rPr>
          <w:rFonts w:eastAsia="仿宋_GB2312"/>
          <w:szCs w:val="32"/>
        </w:rPr>
        <w:t>1.报告中所列数据可能因四舍五入原因与数据直接相加之和存在尾数差异。</w:t>
      </w:r>
    </w:p>
    <w:p>
      <w:pPr>
        <w:spacing w:line="560" w:lineRule="exact"/>
        <w:rPr>
          <w:rFonts w:eastAsia="仿宋_GB2312"/>
          <w:szCs w:val="32"/>
        </w:rPr>
      </w:pPr>
      <w:r>
        <w:rPr>
          <w:rFonts w:eastAsia="仿宋_GB2312"/>
          <w:szCs w:val="32"/>
        </w:rPr>
        <w:t>2.行政许可数量、行政处罚和行政强制数量，包括已公开和依法未公开的全部处理决定。</w:t>
      </w:r>
    </w:p>
    <w:p>
      <w:pPr>
        <w:spacing w:line="560" w:lineRule="exact"/>
        <w:rPr>
          <w:rFonts w:eastAsia="仿宋_GB2312"/>
          <w:szCs w:val="32"/>
        </w:rPr>
      </w:pPr>
      <w:r>
        <w:rPr>
          <w:rFonts w:eastAsia="仿宋_GB2312"/>
          <w:szCs w:val="32"/>
        </w:rPr>
        <w:t>3.行政复议机关作为共同被告的行政诉讼案件，只计算原行为主体的案件数量，不计算行政复议机关的案件数量。</w:t>
      </w:r>
    </w:p>
    <w:p>
      <w:pPr>
        <w:spacing w:line="560" w:lineRule="exact"/>
        <w:ind w:firstLine="640" w:firstLineChars="200"/>
        <w:jc w:val="left"/>
        <w:rPr>
          <w:rFonts w:eastAsia="楷体_GB2312"/>
          <w:szCs w:val="32"/>
        </w:rPr>
      </w:pPr>
    </w:p>
    <w:p>
      <w:pPr>
        <w:ind w:firstLine="600" w:firstLineChars="200"/>
        <w:jc w:val="left"/>
        <w:rPr>
          <w:rFonts w:eastAsia="楷体_GB2312"/>
          <w:sz w:val="30"/>
          <w:szCs w:val="30"/>
        </w:rPr>
      </w:pPr>
    </w:p>
    <w:p>
      <w:pPr>
        <w:spacing w:line="560" w:lineRule="exact"/>
        <w:ind w:firstLine="600" w:firstLineChars="200"/>
        <w:rPr>
          <w:rFonts w:eastAsia="楷体_GB2312"/>
          <w:sz w:val="30"/>
          <w:szCs w:val="30"/>
        </w:rPr>
      </w:pPr>
    </w:p>
    <w:sectPr>
      <w:pgSz w:w="11906" w:h="16838"/>
      <w:pgMar w:top="1984" w:right="1474" w:bottom="1871" w:left="1587" w:header="851" w:footer="992" w:gutter="0"/>
      <w:cols w:space="0" w:num="1"/>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DdjMTE5OGNjMTEyOTBlYTY5NjIwMmI4Y2I3MjUifQ=="/>
  </w:docVars>
  <w:rsids>
    <w:rsidRoot w:val="002E3543"/>
    <w:rsid w:val="000164E6"/>
    <w:rsid w:val="00024945"/>
    <w:rsid w:val="000A3151"/>
    <w:rsid w:val="00110130"/>
    <w:rsid w:val="00117733"/>
    <w:rsid w:val="00121DCF"/>
    <w:rsid w:val="00166B80"/>
    <w:rsid w:val="00210F4D"/>
    <w:rsid w:val="00211942"/>
    <w:rsid w:val="002133C7"/>
    <w:rsid w:val="0023078C"/>
    <w:rsid w:val="002424B7"/>
    <w:rsid w:val="002961F2"/>
    <w:rsid w:val="002B0FFA"/>
    <w:rsid w:val="002E3543"/>
    <w:rsid w:val="00342096"/>
    <w:rsid w:val="003929A1"/>
    <w:rsid w:val="003A4DEB"/>
    <w:rsid w:val="003B5255"/>
    <w:rsid w:val="003D6FCB"/>
    <w:rsid w:val="003E75A6"/>
    <w:rsid w:val="00415AB1"/>
    <w:rsid w:val="004622F8"/>
    <w:rsid w:val="004C1750"/>
    <w:rsid w:val="004D241E"/>
    <w:rsid w:val="004F4282"/>
    <w:rsid w:val="00515DB1"/>
    <w:rsid w:val="00523855"/>
    <w:rsid w:val="005422B3"/>
    <w:rsid w:val="005822D6"/>
    <w:rsid w:val="00591E5D"/>
    <w:rsid w:val="005C09AB"/>
    <w:rsid w:val="005C0F41"/>
    <w:rsid w:val="005D7334"/>
    <w:rsid w:val="0065765D"/>
    <w:rsid w:val="00673AC7"/>
    <w:rsid w:val="006947A5"/>
    <w:rsid w:val="006E3794"/>
    <w:rsid w:val="006F446D"/>
    <w:rsid w:val="00704FCD"/>
    <w:rsid w:val="00834374"/>
    <w:rsid w:val="008C4ED2"/>
    <w:rsid w:val="00915D0B"/>
    <w:rsid w:val="00970CD3"/>
    <w:rsid w:val="009B028C"/>
    <w:rsid w:val="00AA2FEB"/>
    <w:rsid w:val="00AD2516"/>
    <w:rsid w:val="00BE2CDE"/>
    <w:rsid w:val="00C542CC"/>
    <w:rsid w:val="00C67940"/>
    <w:rsid w:val="00C73BD0"/>
    <w:rsid w:val="00C858CE"/>
    <w:rsid w:val="00CC2BE7"/>
    <w:rsid w:val="00CC521B"/>
    <w:rsid w:val="00CD1D00"/>
    <w:rsid w:val="00E60B5D"/>
    <w:rsid w:val="00EA0721"/>
    <w:rsid w:val="00EF5607"/>
    <w:rsid w:val="00FA216A"/>
    <w:rsid w:val="00FD5381"/>
    <w:rsid w:val="0D556D8D"/>
    <w:rsid w:val="0FF93E6F"/>
    <w:rsid w:val="19015A97"/>
    <w:rsid w:val="193B010E"/>
    <w:rsid w:val="1E6105C1"/>
    <w:rsid w:val="1F2D0A96"/>
    <w:rsid w:val="29EF37E5"/>
    <w:rsid w:val="2B5463F0"/>
    <w:rsid w:val="2C055F0E"/>
    <w:rsid w:val="2C9B2BDA"/>
    <w:rsid w:val="304A0821"/>
    <w:rsid w:val="3900139E"/>
    <w:rsid w:val="43AB242A"/>
    <w:rsid w:val="44134083"/>
    <w:rsid w:val="48A0220E"/>
    <w:rsid w:val="52A172B0"/>
    <w:rsid w:val="558E5DD5"/>
    <w:rsid w:val="599975CF"/>
    <w:rsid w:val="5BC22565"/>
    <w:rsid w:val="6BF55C4E"/>
    <w:rsid w:val="6EBC7571"/>
    <w:rsid w:val="738E5F1B"/>
    <w:rsid w:val="7D6C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line="240" w:lineRule="auto"/>
    </w:pPr>
    <w:rPr>
      <w:sz w:val="18"/>
      <w:szCs w:val="18"/>
    </w:rPr>
  </w:style>
  <w:style w:type="paragraph" w:styleId="3">
    <w:name w:val="footer"/>
    <w:basedOn w:val="1"/>
    <w:link w:val="10"/>
    <w:autoRedefine/>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uiPriority w:val="99"/>
    <w:pPr>
      <w:spacing w:beforeAutospacing="1" w:afterAutospacing="1"/>
      <w:jc w:val="left"/>
    </w:pPr>
    <w:rPr>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3"/>
    <w:autoRedefine/>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2"/>
    <w:semiHidden/>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564</Words>
  <Characters>3216</Characters>
  <Lines>26</Lines>
  <Paragraphs>7</Paragraphs>
  <TotalTime>9</TotalTime>
  <ScaleCrop>false</ScaleCrop>
  <LinksUpToDate>false</LinksUpToDate>
  <CharactersWithSpaces>3773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2024-01-26T05:52:55Z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F10C33FB10B24D149CCCAB0FA73080C8_13</vt:lpwstr>
  </property>
</Properties>
</file>