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color w:val="auto"/>
          <w:sz w:val="44"/>
          <w:szCs w:val="44"/>
        </w:rPr>
      </w:pPr>
      <w:r>
        <w:rPr>
          <w:rFonts w:hint="eastAsia" w:ascii="宋体" w:hAnsi="宋体" w:cs="宋体"/>
          <w:b/>
          <w:color w:val="auto"/>
          <w:sz w:val="44"/>
          <w:szCs w:val="44"/>
        </w:rPr>
        <w:t>高青县</w:t>
      </w:r>
      <w:r>
        <w:rPr>
          <w:rFonts w:hint="eastAsia" w:ascii="宋体" w:hAnsi="宋体" w:cs="宋体"/>
          <w:b/>
          <w:color w:val="auto"/>
          <w:sz w:val="44"/>
          <w:szCs w:val="44"/>
          <w:lang w:eastAsia="zh-CN"/>
        </w:rPr>
        <w:t>住房和城乡建设局</w:t>
      </w:r>
      <w:r>
        <w:rPr>
          <w:rFonts w:hint="eastAsia" w:ascii="宋体" w:hAnsi="宋体" w:cs="宋体"/>
          <w:b/>
          <w:color w:val="auto"/>
          <w:sz w:val="44"/>
          <w:szCs w:val="44"/>
        </w:rPr>
        <w:t>2019年政府信息公开工作年度报告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auto"/>
          <w:sz w:val="32"/>
          <w:szCs w:val="32"/>
        </w:rPr>
      </w:pPr>
    </w:p>
    <w:p>
      <w:pPr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本报告根据《中华人民共和国政府信息公开条例》（国务院令第711号，以下简称《条例》）要求，由高青县住房和城乡建设局综合本单位信息公开工作情况编制。</w:t>
      </w:r>
    </w:p>
    <w:p>
      <w:pPr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kern w:val="2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报告全文由总体情况、主动公开政府信息情况、收到和处理政府信息公开申请情况、政府信息公开行政复议行政诉讼情况、存在的主要问题及改进情况、其他需要报告的事项6个部分组成。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/>
          <w:color w:val="auto"/>
          <w:kern w:val="2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报告中所列数据统计期限自2019年1月1日始，至2019年12月31日止。报告电子版可在高青县人民政府门户网站（www.gaoqing.gov.cn）查阅和下载。如对报告内容有疑问，</w:t>
      </w:r>
      <w:r>
        <w:rPr>
          <w:rFonts w:hint="default" w:ascii="Times New Roman" w:hAnsi="Times New Roman" w:eastAsia="仿宋_GB2312" w:cs="Times New Roman"/>
          <w:color w:val="auto"/>
          <w:kern w:val="22"/>
          <w:sz w:val="32"/>
          <w:szCs w:val="32"/>
        </w:rPr>
        <w:t>请与</w:t>
      </w:r>
      <w:r>
        <w:rPr>
          <w:rFonts w:hint="eastAsia" w:ascii="Times New Roman" w:hAnsi="Times New Roman" w:eastAsia="仿宋_GB2312" w:cs="Times New Roman"/>
          <w:color w:val="auto"/>
          <w:kern w:val="22"/>
          <w:sz w:val="32"/>
          <w:szCs w:val="32"/>
          <w:lang w:eastAsia="zh-CN"/>
        </w:rPr>
        <w:t>高青县住房和城乡建设局</w:t>
      </w:r>
      <w:r>
        <w:rPr>
          <w:rFonts w:hint="default" w:ascii="Times New Roman" w:hAnsi="Times New Roman" w:eastAsia="仿宋_GB2312" w:cs="Times New Roman"/>
          <w:color w:val="auto"/>
          <w:kern w:val="22"/>
          <w:sz w:val="32"/>
          <w:szCs w:val="32"/>
        </w:rPr>
        <w:t>办公室联系（地址：高青县城</w:t>
      </w:r>
      <w:r>
        <w:rPr>
          <w:rFonts w:hint="eastAsia" w:ascii="Times New Roman" w:hAnsi="Times New Roman" w:eastAsia="仿宋_GB2312" w:cs="Times New Roman"/>
          <w:color w:val="auto"/>
          <w:kern w:val="22"/>
          <w:sz w:val="32"/>
          <w:szCs w:val="32"/>
          <w:lang w:eastAsia="zh-CN"/>
        </w:rPr>
        <w:t>高苑路</w:t>
      </w:r>
      <w:r>
        <w:rPr>
          <w:rFonts w:hint="eastAsia" w:ascii="Times New Roman" w:hAnsi="Times New Roman" w:eastAsia="仿宋_GB2312" w:cs="Times New Roman"/>
          <w:color w:val="auto"/>
          <w:kern w:val="22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color w:val="auto"/>
          <w:kern w:val="22"/>
          <w:sz w:val="32"/>
          <w:szCs w:val="32"/>
        </w:rPr>
        <w:t>号；邮编：256300；电话：0533-696</w:t>
      </w:r>
      <w:r>
        <w:rPr>
          <w:rFonts w:hint="eastAsia" w:ascii="Times New Roman" w:hAnsi="Times New Roman" w:eastAsia="仿宋_GB2312" w:cs="Times New Roman"/>
          <w:color w:val="auto"/>
          <w:kern w:val="22"/>
          <w:sz w:val="32"/>
          <w:szCs w:val="32"/>
          <w:lang w:val="en-US" w:eastAsia="zh-CN"/>
        </w:rPr>
        <w:t>2070</w:t>
      </w:r>
      <w:r>
        <w:rPr>
          <w:rFonts w:hint="default" w:ascii="Times New Roman" w:hAnsi="Times New Roman" w:eastAsia="仿宋_GB2312" w:cs="Times New Roman"/>
          <w:color w:val="auto"/>
          <w:kern w:val="22"/>
          <w:sz w:val="32"/>
          <w:szCs w:val="32"/>
        </w:rPr>
        <w:t>；传真：0533-69</w:t>
      </w:r>
      <w:r>
        <w:rPr>
          <w:rFonts w:hint="eastAsia" w:ascii="Times New Roman" w:hAnsi="Times New Roman" w:eastAsia="仿宋_GB2312" w:cs="Times New Roman"/>
          <w:color w:val="auto"/>
          <w:kern w:val="22"/>
          <w:sz w:val="32"/>
          <w:szCs w:val="32"/>
          <w:lang w:val="en-US" w:eastAsia="zh-CN"/>
        </w:rPr>
        <w:t>50553</w:t>
      </w:r>
      <w:r>
        <w:rPr>
          <w:rFonts w:hint="default" w:ascii="Times New Roman" w:hAnsi="Times New Roman" w:eastAsia="仿宋_GB2312" w:cs="Times New Roman"/>
          <w:color w:val="auto"/>
          <w:kern w:val="22"/>
          <w:sz w:val="32"/>
          <w:szCs w:val="32"/>
        </w:rPr>
        <w:t>）。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/>
          <w:color w:val="auto"/>
          <w:kern w:val="22"/>
          <w:sz w:val="32"/>
          <w:szCs w:val="32"/>
        </w:rPr>
      </w:pPr>
      <w:r>
        <w:rPr>
          <w:rFonts w:hint="eastAsia" w:ascii="黑体" w:hAnsi="黑体" w:eastAsia="黑体"/>
          <w:color w:val="auto"/>
          <w:kern w:val="22"/>
          <w:sz w:val="32"/>
          <w:szCs w:val="32"/>
        </w:rPr>
        <w:t>一、总体情况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ascii="Times New Roman" w:hAnsi="Times New Roman" w:eastAsia="仿宋_GB2312"/>
          <w:color w:val="auto"/>
          <w:kern w:val="22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2019年，高青县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eastAsia="zh-CN"/>
        </w:rPr>
        <w:t>住房和城乡建设局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深入贯彻新修订的《中华人民共和国政府信息公开条例》，认真落实《国务院办公厅关于印发2019年政务公开工作要点的通知》（国办发〔2019〕14号）、《山东省人民政府办公厅关于印发2019年山东省政务公开工作要点的通知》（鲁政办发〔2019〕15号）和《淄博市人民政府办公室关于印发2019年淄博市政务公开工作方案的通知》（淄政办发〔2019〕5号）部署的各项任务，持续做好信息发布、解读回应、政民互动、平台建设，着力推动行政权力全过程公开、公共服务全流程公开、社会关切全方位回应，切实提升政务公开质量，为全年经济社会发展创造更加开放透明的政务环境。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ascii="楷体_GB2312" w:hAnsi="Times New Roman" w:eastAsia="楷体_GB2312"/>
          <w:color w:val="auto"/>
          <w:kern w:val="22"/>
          <w:sz w:val="32"/>
          <w:szCs w:val="32"/>
        </w:rPr>
      </w:pPr>
      <w:r>
        <w:rPr>
          <w:rFonts w:hint="eastAsia" w:ascii="楷体_GB2312" w:hAnsi="Times New Roman" w:eastAsia="楷体_GB2312"/>
          <w:color w:val="auto"/>
          <w:kern w:val="22"/>
          <w:sz w:val="32"/>
          <w:szCs w:val="32"/>
        </w:rPr>
        <w:t>（一）政府信息公开体制机制建设情况</w:t>
      </w:r>
    </w:p>
    <w:p>
      <w:pPr>
        <w:pStyle w:val="8"/>
        <w:widowControl/>
        <w:spacing w:after="0" w:line="56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color w:val="auto"/>
          <w:kern w:val="2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22"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2"/>
          <w:sz w:val="32"/>
          <w:szCs w:val="32"/>
        </w:rPr>
        <w:t>加强组织领导。</w:t>
      </w:r>
      <w:r>
        <w:rPr>
          <w:rFonts w:hint="default" w:ascii="Times New Roman" w:hAnsi="Times New Roman" w:eastAsia="仿宋_GB2312" w:cs="Times New Roman"/>
          <w:color w:val="auto"/>
          <w:kern w:val="22"/>
          <w:sz w:val="32"/>
          <w:szCs w:val="32"/>
        </w:rPr>
        <w:t>我</w:t>
      </w:r>
      <w:r>
        <w:rPr>
          <w:rFonts w:hint="eastAsia" w:ascii="Times New Roman" w:hAnsi="Times New Roman" w:eastAsia="仿宋_GB2312" w:cs="Times New Roman"/>
          <w:color w:val="auto"/>
          <w:kern w:val="22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color w:val="auto"/>
          <w:kern w:val="22"/>
          <w:sz w:val="32"/>
          <w:szCs w:val="32"/>
        </w:rPr>
        <w:t>高度重视政务信息公开工作，并不断健全、完善政务信息公开工工作机制，做到在工作中总结、在实践中完善，确保有关工作顺利推进。始终加强领导，及时协调解决工作中的问题，做到工作机构常设，工作人员到位，工作运行高效。坚持政务信息公开工作与其它工作同布置、同检查、同落实。根据年度住房和城乡建设中心工作，结合政务公开工作实际，及时对政务信息公开工作的内容、措施、程序等做出明确规定；认真落实信息报送、统计报表、工作总结等制度，做到有计划、有检查、有总结。</w:t>
      </w:r>
    </w:p>
    <w:p>
      <w:pPr>
        <w:pStyle w:val="8"/>
        <w:widowControl/>
        <w:spacing w:after="0" w:line="560" w:lineRule="exact"/>
        <w:ind w:firstLine="643" w:firstLineChars="200"/>
        <w:jc w:val="both"/>
        <w:rPr>
          <w:rFonts w:hint="eastAsia" w:ascii="楷体_GB2312" w:hAnsi="Times New Roman" w:eastAsia="楷体_GB2312"/>
          <w:color w:val="auto"/>
          <w:kern w:val="2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22"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2"/>
          <w:sz w:val="32"/>
          <w:szCs w:val="32"/>
        </w:rPr>
        <w:t>强化平台建设。</w:t>
      </w:r>
      <w:r>
        <w:rPr>
          <w:rFonts w:hint="default" w:ascii="Times New Roman" w:hAnsi="Times New Roman" w:eastAsia="仿宋_GB2312" w:cs="Times New Roman"/>
          <w:color w:val="auto"/>
          <w:kern w:val="22"/>
          <w:sz w:val="32"/>
          <w:szCs w:val="32"/>
        </w:rPr>
        <w:t>在现有规章制度的前提下，今年我局重点认真落实省市县有关政务信息公开政策，进一步规范了政务信息公开的内容，对局系统政务信息的公开范围、公开途径、职责分工等做出具体规定，实行目标管理，加强监督检查，做到了责任到岗、任务到人、管理到位。加大政务微博、微信等新媒体平台的政务公开力度，提升信息发布、解读回应、政民互动的整体水平。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ascii="楷体_GB2312" w:hAnsi="Times New Roman" w:eastAsia="楷体_GB2312"/>
          <w:color w:val="auto"/>
          <w:kern w:val="22"/>
          <w:sz w:val="32"/>
          <w:szCs w:val="32"/>
        </w:rPr>
      </w:pPr>
      <w:r>
        <w:rPr>
          <w:rFonts w:hint="eastAsia" w:ascii="楷体_GB2312" w:hAnsi="Times New Roman" w:eastAsia="楷体_GB2312"/>
          <w:color w:val="auto"/>
          <w:kern w:val="22"/>
          <w:sz w:val="32"/>
          <w:szCs w:val="32"/>
        </w:rPr>
        <w:t>（二）主动公开政府信息情况</w:t>
      </w:r>
    </w:p>
    <w:p>
      <w:pPr>
        <w:pStyle w:val="8"/>
        <w:widowControl/>
        <w:spacing w:after="0" w:line="560" w:lineRule="exact"/>
        <w:ind w:firstLine="643" w:firstLineChars="200"/>
        <w:jc w:val="both"/>
        <w:rPr>
          <w:rFonts w:hint="eastAsia" w:ascii="楷体_GB2312" w:hAnsi="Times New Roman" w:eastAsia="楷体_GB2312"/>
          <w:color w:val="auto"/>
          <w:kern w:val="22"/>
          <w:sz w:val="32"/>
          <w:szCs w:val="32"/>
        </w:rPr>
      </w:pPr>
      <w:r>
        <w:rPr>
          <w:rFonts w:hint="eastAsia" w:ascii="仿宋_GB2312" w:eastAsia="仿宋_GB2312"/>
          <w:b/>
          <w:bCs w:val="0"/>
          <w:color w:val="auto"/>
          <w:sz w:val="32"/>
          <w:szCs w:val="32"/>
        </w:rPr>
        <w:t>人大代表建议和政协委员提案办理结果公开方面：</w:t>
      </w:r>
      <w:r>
        <w:rPr>
          <w:rFonts w:hint="eastAsia" w:ascii="仿宋_GB2312" w:eastAsia="仿宋_GB2312"/>
          <w:color w:val="auto"/>
          <w:sz w:val="32"/>
          <w:szCs w:val="32"/>
        </w:rPr>
        <w:t>按照《高青县人民政府办公室关于做好2019年度政府系统建议提案办理工作的通知》（高政办字〔2019〕14号）要求，在县政府网站“建议提案办理”栏目主动公开人大代表建议和政协委员提案办理情况。</w:t>
      </w:r>
      <w:r>
        <w:rPr>
          <w:rFonts w:hint="default" w:ascii="Times New Roman" w:hAnsi="Times New Roman" w:eastAsia="仿宋_GB2312" w:cs="Times New Roman"/>
          <w:color w:val="auto"/>
          <w:kern w:val="22"/>
          <w:sz w:val="32"/>
          <w:szCs w:val="32"/>
        </w:rPr>
        <w:t>2019年主动公开我局承办的11件县人大代表建议、6件县政协委员提案的整体办理情况，对涉及公共利益、公众权益、社会关切及需要社会广泛知晓的建议和提案办理复文全文予以公开。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ascii="Times New Roman" w:hAnsi="Times New Roman" w:eastAsia="仿宋_GB2312"/>
          <w:b/>
          <w:color w:val="auto"/>
          <w:kern w:val="22"/>
          <w:sz w:val="32"/>
          <w:szCs w:val="32"/>
        </w:rPr>
      </w:pPr>
      <w:r>
        <w:rPr>
          <w:rFonts w:ascii="Times New Roman" w:hAnsi="Times New Roman" w:eastAsia="仿宋_GB2312"/>
          <w:b w:val="0"/>
          <w:bCs/>
          <w:color w:val="auto"/>
          <w:kern w:val="22"/>
          <w:sz w:val="32"/>
          <w:szCs w:val="32"/>
        </w:rPr>
        <w:t>2019年，我局制发规范性文件</w:t>
      </w:r>
      <w:r>
        <w:rPr>
          <w:rFonts w:hint="eastAsia" w:ascii="Times New Roman" w:hAnsi="Times New Roman" w:eastAsia="仿宋_GB2312"/>
          <w:b w:val="0"/>
          <w:bCs/>
          <w:color w:val="auto"/>
          <w:kern w:val="22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/>
          <w:b w:val="0"/>
          <w:bCs/>
          <w:color w:val="auto"/>
          <w:kern w:val="22"/>
          <w:sz w:val="32"/>
          <w:szCs w:val="32"/>
        </w:rPr>
        <w:t>件</w:t>
      </w:r>
      <w:r>
        <w:rPr>
          <w:rFonts w:hint="eastAsia" w:ascii="Times New Roman" w:hAnsi="Times New Roman" w:eastAsia="仿宋_GB2312"/>
          <w:b w:val="0"/>
          <w:bCs/>
          <w:color w:val="auto"/>
          <w:kern w:val="22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/>
          <w:b w:val="0"/>
          <w:bCs/>
          <w:color w:val="auto"/>
          <w:kern w:val="22"/>
          <w:sz w:val="32"/>
          <w:szCs w:val="32"/>
        </w:rPr>
        <w:t>行政许可</w:t>
      </w:r>
      <w:r>
        <w:rPr>
          <w:rFonts w:hint="eastAsia" w:ascii="Times New Roman" w:hAnsi="Times New Roman" w:eastAsia="仿宋_GB2312"/>
          <w:b w:val="0"/>
          <w:bCs/>
          <w:color w:val="auto"/>
          <w:kern w:val="22"/>
          <w:sz w:val="32"/>
          <w:szCs w:val="32"/>
          <w:lang w:val="en-US" w:eastAsia="zh-CN"/>
        </w:rPr>
        <w:t>251件</w:t>
      </w:r>
      <w:r>
        <w:rPr>
          <w:rFonts w:hint="eastAsia" w:ascii="Times New Roman" w:hAnsi="Times New Roman" w:eastAsia="仿宋_GB2312"/>
          <w:b w:val="0"/>
          <w:bCs/>
          <w:color w:val="auto"/>
          <w:kern w:val="22"/>
          <w:sz w:val="32"/>
          <w:szCs w:val="32"/>
          <w:lang w:eastAsia="zh-CN"/>
        </w:rPr>
        <w:t>，其他对外管理服务事项</w:t>
      </w:r>
      <w:r>
        <w:rPr>
          <w:rFonts w:hint="eastAsia" w:ascii="Times New Roman" w:hAnsi="Times New Roman" w:eastAsia="仿宋_GB2312"/>
          <w:b w:val="0"/>
          <w:bCs/>
          <w:color w:val="auto"/>
          <w:kern w:val="22"/>
          <w:sz w:val="32"/>
          <w:szCs w:val="32"/>
          <w:lang w:val="en-US" w:eastAsia="zh-CN"/>
        </w:rPr>
        <w:t>1283件，</w:t>
      </w:r>
      <w:r>
        <w:rPr>
          <w:rFonts w:ascii="Times New Roman" w:hAnsi="Times New Roman" w:eastAsia="仿宋_GB2312"/>
          <w:b w:val="0"/>
          <w:bCs/>
          <w:color w:val="auto"/>
          <w:kern w:val="22"/>
          <w:sz w:val="32"/>
          <w:szCs w:val="32"/>
        </w:rPr>
        <w:t>行政处罚</w:t>
      </w:r>
      <w:r>
        <w:rPr>
          <w:rFonts w:hint="eastAsia" w:ascii="Times New Roman" w:hAnsi="Times New Roman" w:eastAsia="仿宋_GB2312"/>
          <w:b w:val="0"/>
          <w:bCs/>
          <w:color w:val="auto"/>
          <w:kern w:val="22"/>
          <w:sz w:val="32"/>
          <w:szCs w:val="32"/>
          <w:lang w:val="en-US" w:eastAsia="zh-CN"/>
        </w:rPr>
        <w:t>1件。</w:t>
      </w:r>
    </w:p>
    <w:p>
      <w:pPr>
        <w:pStyle w:val="8"/>
        <w:widowControl/>
        <w:spacing w:after="0" w:line="240" w:lineRule="auto"/>
        <w:jc w:val="center"/>
        <w:rPr>
          <w:rFonts w:hint="eastAsia" w:ascii="Times New Roman" w:hAnsi="Times New Roman" w:eastAsia="仿宋_GB2312"/>
          <w:b/>
          <w:color w:val="auto"/>
          <w:kern w:val="2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b/>
          <w:color w:val="auto"/>
          <w:kern w:val="22"/>
          <w:sz w:val="32"/>
          <w:szCs w:val="32"/>
          <w:lang w:eastAsia="zh-CN"/>
        </w:rPr>
        <w:drawing>
          <wp:inline distT="0" distB="0" distL="114300" distR="114300">
            <wp:extent cx="4108450" cy="2469515"/>
            <wp:effectExtent l="0" t="0" r="6350" b="6985"/>
            <wp:docPr id="2" name="图片 2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08450" cy="246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widowControl/>
        <w:spacing w:after="0" w:line="240" w:lineRule="auto"/>
        <w:jc w:val="center"/>
        <w:rPr>
          <w:rFonts w:hint="eastAsia" w:ascii="Times New Roman" w:hAnsi="Times New Roman" w:eastAsia="仿宋_GB2312"/>
          <w:b/>
          <w:color w:val="auto"/>
          <w:kern w:val="2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b/>
          <w:color w:val="auto"/>
          <w:kern w:val="22"/>
          <w:sz w:val="32"/>
          <w:szCs w:val="32"/>
          <w:lang w:eastAsia="zh-CN"/>
        </w:rPr>
        <w:drawing>
          <wp:inline distT="0" distB="0" distL="114300" distR="114300">
            <wp:extent cx="4093845" cy="2460625"/>
            <wp:effectExtent l="0" t="0" r="1905" b="15875"/>
            <wp:docPr id="3" name="图片 3" descr="图片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93845" cy="246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widowControl/>
        <w:spacing w:after="0" w:line="240" w:lineRule="auto"/>
        <w:jc w:val="center"/>
        <w:rPr>
          <w:rFonts w:ascii="Times New Roman" w:hAnsi="Times New Roman" w:eastAsia="仿宋_GB2312"/>
          <w:b/>
          <w:color w:val="auto"/>
          <w:kern w:val="22"/>
          <w:sz w:val="32"/>
          <w:szCs w:val="32"/>
        </w:rPr>
      </w:pPr>
      <w:r>
        <w:rPr>
          <w:rFonts w:hint="eastAsia" w:ascii="Times New Roman" w:hAnsi="Times New Roman" w:eastAsia="仿宋_GB2312"/>
          <w:b/>
          <w:color w:val="auto"/>
          <w:kern w:val="22"/>
          <w:sz w:val="32"/>
          <w:szCs w:val="32"/>
          <w:lang w:eastAsia="zh-CN"/>
        </w:rPr>
        <w:drawing>
          <wp:inline distT="0" distB="0" distL="114300" distR="114300">
            <wp:extent cx="4095750" cy="2462530"/>
            <wp:effectExtent l="0" t="0" r="0" b="13970"/>
            <wp:docPr id="4" name="图片 4" descr="图片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2462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ascii="楷体_GB2312" w:hAnsi="Times New Roman" w:eastAsia="楷体_GB2312"/>
          <w:color w:val="auto"/>
          <w:kern w:val="22"/>
          <w:sz w:val="32"/>
          <w:szCs w:val="32"/>
        </w:rPr>
      </w:pPr>
      <w:r>
        <w:rPr>
          <w:rFonts w:hint="eastAsia" w:ascii="楷体_GB2312" w:hAnsi="Times New Roman" w:eastAsia="楷体_GB2312"/>
          <w:color w:val="auto"/>
          <w:kern w:val="22"/>
          <w:sz w:val="32"/>
          <w:szCs w:val="32"/>
        </w:rPr>
        <w:t>（三）依申请公开情况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ascii="楷体_GB2312" w:hAnsi="Times New Roman" w:eastAsia="楷体_GB2312"/>
          <w:color w:val="auto"/>
          <w:kern w:val="22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对于申请的信息可以公开的，提供该政府信息，或者告知申请人获取该政府信息的方式、途径和时间；对于申请的信息不属于本机关公开范围的，告知申请人并说明理由，能够确定公开机关的，告知申请人该机关的名称和联系方式；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>对于较为复杂的申请件，主动与申请人沟通，了解群众需求，避免因误解引起行政复议或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行政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>诉讼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。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/>
          <w:b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/>
          <w:b/>
          <w:color w:val="auto"/>
          <w:kern w:val="0"/>
          <w:sz w:val="32"/>
          <w:szCs w:val="32"/>
        </w:rPr>
        <w:t>1.</w:t>
      </w:r>
      <w:r>
        <w:rPr>
          <w:rFonts w:hint="eastAsia" w:ascii="Times New Roman" w:hAnsi="Times New Roman" w:eastAsia="仿宋_GB2312"/>
          <w:b/>
          <w:color w:val="auto"/>
          <w:kern w:val="0"/>
          <w:sz w:val="32"/>
          <w:szCs w:val="32"/>
        </w:rPr>
        <w:t>收到和处理政府信息公开申请情况</w:t>
      </w:r>
    </w:p>
    <w:p>
      <w:pPr>
        <w:pStyle w:val="8"/>
        <w:widowControl/>
        <w:spacing w:after="0" w:line="560" w:lineRule="exact"/>
        <w:ind w:firstLine="640" w:firstLineChars="200"/>
        <w:rPr>
          <w:rFonts w:ascii="Times New Roman" w:hAnsi="Times New Roman" w:eastAsia="仿宋_GB2312"/>
          <w:color w:val="auto"/>
          <w:kern w:val="22"/>
          <w:sz w:val="32"/>
          <w:szCs w:val="32"/>
        </w:rPr>
      </w:pPr>
      <w:r>
        <w:rPr>
          <w:rFonts w:ascii="Times New Roman" w:hAnsi="Times New Roman" w:eastAsia="仿宋_GB2312"/>
          <w:color w:val="auto"/>
          <w:kern w:val="22"/>
          <w:sz w:val="32"/>
          <w:szCs w:val="32"/>
        </w:rPr>
        <w:t>2019年度，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eastAsia="zh-CN"/>
        </w:rPr>
        <w:t>我单位</w:t>
      </w:r>
      <w:r>
        <w:rPr>
          <w:rFonts w:ascii="Times New Roman" w:hAnsi="Times New Roman" w:eastAsia="仿宋_GB2312"/>
          <w:color w:val="auto"/>
          <w:kern w:val="22"/>
          <w:sz w:val="32"/>
          <w:szCs w:val="32"/>
        </w:rPr>
        <w:t>共收到政府信息公开申请7件，结转下年度继续办理0件，上年结转政府信息公开申请0件。</w:t>
      </w:r>
    </w:p>
    <w:p>
      <w:pPr>
        <w:pStyle w:val="8"/>
        <w:widowControl/>
        <w:spacing w:after="0" w:line="560" w:lineRule="exact"/>
        <w:ind w:firstLine="643" w:firstLineChars="200"/>
        <w:rPr>
          <w:rFonts w:ascii="Times New Roman" w:hAnsi="Times New Roman" w:eastAsia="仿宋_GB2312"/>
          <w:color w:val="auto"/>
          <w:kern w:val="22"/>
          <w:sz w:val="32"/>
          <w:szCs w:val="32"/>
        </w:rPr>
      </w:pPr>
      <w:r>
        <w:rPr>
          <w:rFonts w:hint="eastAsia" w:ascii="Times New Roman" w:hAnsi="Times New Roman" w:eastAsia="仿宋_GB2312"/>
          <w:b/>
          <w:color w:val="auto"/>
          <w:kern w:val="22"/>
          <w:sz w:val="32"/>
          <w:szCs w:val="32"/>
        </w:rPr>
        <w:t>申请内容情况：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政府信息公开申请的内容主要涉及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eastAsia="zh-CN"/>
        </w:rPr>
        <w:t>行政事项查询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方面。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/>
          <w:color w:val="auto"/>
          <w:kern w:val="22"/>
          <w:sz w:val="32"/>
          <w:szCs w:val="32"/>
        </w:rPr>
      </w:pPr>
      <w:r>
        <w:rPr>
          <w:rFonts w:hint="eastAsia" w:ascii="Times New Roman" w:hAnsi="Times New Roman" w:eastAsia="仿宋_GB2312"/>
          <w:b/>
          <w:color w:val="auto"/>
          <w:kern w:val="22"/>
          <w:sz w:val="32"/>
          <w:szCs w:val="32"/>
        </w:rPr>
        <w:t>申请处理情况：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2019年共办结信息公开申请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件。</w:t>
      </w:r>
      <w:r>
        <w:rPr>
          <w:rFonts w:ascii="Times New Roman" w:hAnsi="Times New Roman" w:eastAsia="仿宋_GB2312"/>
          <w:color w:val="auto"/>
          <w:sz w:val="32"/>
          <w:szCs w:val="32"/>
        </w:rPr>
        <w:t>在答复的申请中：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auto"/>
          <w:kern w:val="22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予以公开的办件有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件，占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val="en-US" w:eastAsia="zh-CN"/>
        </w:rPr>
        <w:t>14.29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%；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auto"/>
          <w:kern w:val="22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无法提供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eastAsia="zh-CN"/>
        </w:rPr>
        <w:t>（本机关不掌握）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的办件有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件，占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val="en-US" w:eastAsia="zh-CN"/>
        </w:rPr>
        <w:t>85.71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%。</w:t>
      </w:r>
    </w:p>
    <w:p>
      <w:pPr>
        <w:pStyle w:val="8"/>
        <w:widowControl/>
        <w:spacing w:after="0" w:line="560" w:lineRule="exact"/>
        <w:ind w:firstLine="643" w:firstLineChars="200"/>
        <w:jc w:val="both"/>
        <w:rPr>
          <w:rFonts w:ascii="Times New Roman" w:hAnsi="Times New Roman" w:eastAsia="仿宋_GB2312"/>
          <w:b/>
          <w:color w:val="auto"/>
          <w:sz w:val="32"/>
          <w:szCs w:val="32"/>
        </w:rPr>
      </w:pPr>
    </w:p>
    <w:p>
      <w:pPr>
        <w:pStyle w:val="8"/>
        <w:widowControl/>
        <w:spacing w:after="0" w:line="240" w:lineRule="auto"/>
        <w:jc w:val="center"/>
        <w:rPr>
          <w:rFonts w:hint="eastAsia" w:ascii="Times New Roman" w:hAnsi="Times New Roman" w:eastAsia="仿宋_GB2312"/>
          <w:b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b/>
          <w:color w:val="auto"/>
          <w:sz w:val="32"/>
          <w:szCs w:val="32"/>
          <w:lang w:eastAsia="zh-CN"/>
        </w:rPr>
        <w:drawing>
          <wp:inline distT="0" distB="0" distL="114300" distR="114300">
            <wp:extent cx="4584065" cy="2755265"/>
            <wp:effectExtent l="0" t="0" r="6985" b="6985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84065" cy="2755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widowControl/>
        <w:spacing w:after="0" w:line="560" w:lineRule="exact"/>
        <w:ind w:firstLine="643" w:firstLineChars="200"/>
        <w:jc w:val="both"/>
        <w:rPr>
          <w:rFonts w:ascii="楷体_GB2312" w:hAnsi="Times New Roman" w:eastAsia="楷体_GB2312"/>
          <w:color w:val="auto"/>
          <w:kern w:val="22"/>
          <w:sz w:val="32"/>
          <w:szCs w:val="32"/>
        </w:rPr>
      </w:pPr>
      <w:r>
        <w:rPr>
          <w:rFonts w:hint="eastAsia" w:ascii="Times New Roman" w:hAnsi="Times New Roman" w:eastAsia="仿宋_GB2312"/>
          <w:b/>
          <w:color w:val="auto"/>
          <w:sz w:val="32"/>
          <w:szCs w:val="32"/>
        </w:rPr>
        <w:t>2</w:t>
      </w:r>
      <w:r>
        <w:rPr>
          <w:rFonts w:ascii="Times New Roman" w:hAnsi="Times New Roman" w:eastAsia="仿宋_GB2312"/>
          <w:b/>
          <w:color w:val="auto"/>
          <w:sz w:val="32"/>
          <w:szCs w:val="32"/>
        </w:rPr>
        <w:t>.</w:t>
      </w:r>
      <w:r>
        <w:rPr>
          <w:rFonts w:hint="eastAsia" w:ascii="Times New Roman" w:hAnsi="Times New Roman" w:eastAsia="仿宋_GB2312"/>
          <w:b/>
          <w:color w:val="auto"/>
          <w:sz w:val="32"/>
          <w:szCs w:val="32"/>
        </w:rPr>
        <w:t>收费及减免情况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ascii="Times New Roman" w:hAnsi="Times New Roman" w:eastAsia="仿宋_GB2312"/>
          <w:color w:val="auto"/>
          <w:kern w:val="22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本年度，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eastAsia="zh-CN"/>
        </w:rPr>
        <w:t>我单位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在政府信息公开申请办理过程中，未收取任何费用。</w:t>
      </w:r>
    </w:p>
    <w:p>
      <w:pPr>
        <w:pStyle w:val="8"/>
        <w:widowControl/>
        <w:spacing w:after="0" w:line="560" w:lineRule="exact"/>
        <w:ind w:firstLine="643" w:firstLineChars="200"/>
        <w:jc w:val="both"/>
        <w:rPr>
          <w:rFonts w:ascii="Times New Roman" w:hAnsi="Times New Roman" w:eastAsia="仿宋_GB2312"/>
          <w:b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b/>
          <w:color w:val="auto"/>
          <w:sz w:val="32"/>
          <w:szCs w:val="32"/>
        </w:rPr>
        <w:t>3.政府信息公开行政复议、行政诉讼情况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ascii="Times New Roman" w:hAnsi="Times New Roman" w:eastAsia="仿宋_GB2312"/>
          <w:color w:val="auto"/>
          <w:kern w:val="22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2019年，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eastAsia="zh-CN"/>
        </w:rPr>
        <w:t>我单位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因政府信息公开引起的行政复议1件，其中：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ascii="Times New Roman" w:hAnsi="Times New Roman" w:eastAsia="仿宋_GB2312"/>
          <w:color w:val="auto"/>
          <w:kern w:val="22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eastAsia="zh-CN"/>
        </w:rPr>
        <w:t>尚未结审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件，占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val="en-US" w:eastAsia="zh-CN"/>
        </w:rPr>
        <w:t>100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%。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ascii="Times New Roman" w:hAnsi="Times New Roman" w:eastAsia="仿宋_GB2312"/>
          <w:color w:val="auto"/>
          <w:kern w:val="22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发生政府信息公开行政诉讼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件。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ascii="楷体_GB2312" w:hAnsi="Times New Roman" w:eastAsia="楷体_GB2312"/>
          <w:color w:val="auto"/>
          <w:kern w:val="22"/>
          <w:sz w:val="32"/>
          <w:szCs w:val="32"/>
        </w:rPr>
      </w:pPr>
      <w:r>
        <w:rPr>
          <w:rFonts w:hint="eastAsia" w:ascii="楷体_GB2312" w:hAnsi="Times New Roman" w:eastAsia="楷体_GB2312"/>
          <w:color w:val="auto"/>
          <w:kern w:val="22"/>
          <w:sz w:val="32"/>
          <w:szCs w:val="32"/>
        </w:rPr>
        <w:t>（四）政府信息管理情况</w:t>
      </w:r>
    </w:p>
    <w:p>
      <w:pPr>
        <w:pStyle w:val="8"/>
        <w:widowControl/>
        <w:spacing w:after="0" w:line="560" w:lineRule="exact"/>
        <w:ind w:firstLine="643" w:firstLineChars="200"/>
        <w:jc w:val="both"/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color w:val="auto"/>
          <w:kern w:val="22"/>
          <w:sz w:val="32"/>
          <w:szCs w:val="32"/>
        </w:rPr>
        <w:t>一是加强政府信息规范管理</w:t>
      </w:r>
      <w:r>
        <w:rPr>
          <w:rFonts w:hint="eastAsia" w:ascii="Times New Roman" w:hAnsi="Times New Roman" w:eastAsia="仿宋_GB2312"/>
          <w:b/>
          <w:bCs/>
          <w:color w:val="auto"/>
          <w:kern w:val="2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val="en-US" w:eastAsia="zh-CN"/>
        </w:rPr>
        <w:t>按照“主要领导亲自抓，分管领导具体抓，办公室专人抓落实，局属事业单位与机关密切配合”的总体要求推动，确保信息公开工作有人管，具体事务有人办，形成了良好的工作格局。</w:t>
      </w:r>
    </w:p>
    <w:p>
      <w:pPr>
        <w:pStyle w:val="8"/>
        <w:widowControl/>
        <w:spacing w:after="0" w:line="560" w:lineRule="exact"/>
        <w:ind w:firstLine="643" w:firstLineChars="200"/>
        <w:jc w:val="both"/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color w:val="auto"/>
          <w:kern w:val="22"/>
          <w:sz w:val="32"/>
          <w:szCs w:val="32"/>
        </w:rPr>
        <w:t>二是加强政府信息公开培训</w:t>
      </w:r>
      <w:r>
        <w:rPr>
          <w:rFonts w:hint="eastAsia" w:ascii="Times New Roman" w:hAnsi="Times New Roman" w:eastAsia="仿宋_GB2312"/>
          <w:b/>
          <w:bCs/>
          <w:color w:val="auto"/>
          <w:kern w:val="2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eastAsia="zh-CN"/>
        </w:rPr>
        <w:t>参加全县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培训会2次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eastAsia="zh-CN"/>
        </w:rPr>
        <w:t>，学习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val="en-US" w:eastAsia="zh-CN"/>
        </w:rPr>
        <w:t>政务公开制度，包括信息公开的指南、目录、规程，依申请公开流程，网站建设管理制度以及政策解读、新闻发布会等工作制度。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ascii="楷体_GB2312" w:hAnsi="Times New Roman" w:eastAsia="楷体_GB2312"/>
          <w:color w:val="auto"/>
          <w:kern w:val="22"/>
          <w:sz w:val="32"/>
          <w:szCs w:val="32"/>
        </w:rPr>
      </w:pPr>
      <w:r>
        <w:rPr>
          <w:rFonts w:hint="eastAsia" w:ascii="楷体_GB2312" w:hAnsi="Times New Roman" w:eastAsia="楷体_GB2312"/>
          <w:color w:val="auto"/>
          <w:kern w:val="22"/>
          <w:sz w:val="32"/>
          <w:szCs w:val="32"/>
        </w:rPr>
        <w:t>（五）政府信息公开平台、机构建设和人员情况</w:t>
      </w:r>
    </w:p>
    <w:p>
      <w:pPr>
        <w:pStyle w:val="8"/>
        <w:widowControl/>
        <w:spacing w:after="0" w:line="560" w:lineRule="exact"/>
        <w:ind w:firstLine="643" w:firstLineChars="200"/>
        <w:jc w:val="both"/>
        <w:rPr>
          <w:rFonts w:ascii="Times New Roman" w:hAnsi="Times New Roman" w:eastAsia="仿宋_GB2312"/>
          <w:color w:val="auto"/>
          <w:kern w:val="22"/>
          <w:sz w:val="32"/>
          <w:szCs w:val="32"/>
        </w:rPr>
      </w:pPr>
      <w:r>
        <w:rPr>
          <w:rFonts w:hint="eastAsia" w:ascii="Times New Roman" w:hAnsi="Times New Roman" w:eastAsia="仿宋_GB2312"/>
          <w:b/>
          <w:color w:val="auto"/>
          <w:kern w:val="22"/>
          <w:sz w:val="32"/>
          <w:szCs w:val="32"/>
        </w:rPr>
        <w:t>一是</w:t>
      </w:r>
      <w:r>
        <w:rPr>
          <w:rFonts w:hint="eastAsia" w:ascii="Times New Roman" w:hAnsi="Times New Roman" w:eastAsia="仿宋_GB2312"/>
          <w:b/>
          <w:color w:val="auto"/>
          <w:kern w:val="22"/>
          <w:sz w:val="32"/>
          <w:szCs w:val="32"/>
          <w:lang w:eastAsia="zh-CN"/>
        </w:rPr>
        <w:t>加强新媒体平台建设。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2"/>
          <w:sz w:val="32"/>
          <w:szCs w:val="32"/>
          <w:lang w:val="en-US" w:eastAsia="zh-CN"/>
        </w:rPr>
        <w:t>积极顺应“互联网+”发展趋势，</w:t>
      </w:r>
      <w:r>
        <w:rPr>
          <w:rFonts w:hint="eastAsia" w:ascii="仿宋_GB2312" w:hAnsi="仿宋" w:eastAsia="仿宋_GB2312" w:cs="仿宋_GB2312"/>
          <w:bCs/>
          <w:color w:val="auto"/>
          <w:sz w:val="32"/>
          <w:szCs w:val="32"/>
        </w:rPr>
        <w:t>加大政务微博、微信等新媒体平台的政务公开力度，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统筹推进政务新媒体与政府网站的协同联动、融合发展，提升信息发布、解读回应、政民互动、办事服务的整体水平。</w:t>
      </w:r>
    </w:p>
    <w:p>
      <w:pPr>
        <w:pStyle w:val="8"/>
        <w:widowControl/>
        <w:spacing w:after="0" w:line="560" w:lineRule="exact"/>
        <w:ind w:firstLine="643" w:firstLineChars="200"/>
        <w:jc w:val="both"/>
        <w:rPr>
          <w:rFonts w:ascii="Times New Roman" w:hAnsi="Times New Roman" w:eastAsia="仿宋_GB2312"/>
          <w:color w:val="auto"/>
          <w:kern w:val="22"/>
          <w:sz w:val="32"/>
          <w:szCs w:val="32"/>
        </w:rPr>
      </w:pPr>
      <w:r>
        <w:rPr>
          <w:rFonts w:hint="eastAsia" w:ascii="Times New Roman" w:hAnsi="Times New Roman" w:eastAsia="仿宋_GB2312"/>
          <w:b/>
          <w:color w:val="auto"/>
          <w:kern w:val="22"/>
          <w:sz w:val="32"/>
          <w:szCs w:val="32"/>
        </w:rPr>
        <w:t>二是强化机构建设。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统筹负责全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eastAsia="zh-CN"/>
        </w:rPr>
        <w:t>局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政府信息公开组织协调、指导推进、监督检查等工作。办公室信息调研科作为政府信息公开工作具体科室，2人负责政务公开工作，其中1人专职，1人兼职。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ascii="楷体_GB2312" w:hAnsi="Times New Roman" w:eastAsia="楷体_GB2312"/>
          <w:color w:val="auto"/>
          <w:kern w:val="22"/>
          <w:sz w:val="32"/>
          <w:szCs w:val="32"/>
        </w:rPr>
      </w:pPr>
      <w:r>
        <w:rPr>
          <w:rFonts w:hint="eastAsia" w:ascii="楷体_GB2312" w:hAnsi="Times New Roman" w:eastAsia="楷体_GB2312"/>
          <w:color w:val="auto"/>
          <w:kern w:val="22"/>
          <w:sz w:val="32"/>
          <w:szCs w:val="32"/>
        </w:rPr>
        <w:t>（六）监督保障情况</w:t>
      </w:r>
    </w:p>
    <w:p>
      <w:pPr>
        <w:pStyle w:val="8"/>
        <w:widowControl/>
        <w:spacing w:after="0" w:line="560" w:lineRule="exact"/>
        <w:ind w:firstLine="643" w:firstLineChars="200"/>
        <w:jc w:val="both"/>
        <w:rPr>
          <w:rFonts w:hint="eastAsia" w:ascii="Times New Roman" w:hAnsi="Times New Roman" w:eastAsia="仿宋_GB2312"/>
          <w:b/>
          <w:color w:val="auto"/>
          <w:kern w:val="22"/>
          <w:sz w:val="32"/>
          <w:szCs w:val="32"/>
        </w:rPr>
      </w:pPr>
      <w:r>
        <w:rPr>
          <w:rFonts w:hint="eastAsia" w:ascii="Times New Roman" w:hAnsi="Times New Roman" w:eastAsia="仿宋_GB2312"/>
          <w:b/>
          <w:color w:val="auto"/>
          <w:kern w:val="22"/>
          <w:sz w:val="32"/>
          <w:szCs w:val="32"/>
        </w:rPr>
        <w:t>一是加强工作考核。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b w:val="0"/>
          <w:bCs/>
          <w:color w:val="auto"/>
          <w:kern w:val="22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bCs/>
          <w:color w:val="auto"/>
          <w:kern w:val="22"/>
          <w:sz w:val="32"/>
          <w:szCs w:val="32"/>
          <w:lang w:val="en-US" w:eastAsia="zh-CN"/>
        </w:rPr>
        <w:t>我单位始终把政府信息公开工作列入重要议事日程，与业务工作统筹考虑、统一部署、同步推进。加强组织领导、细化工作标准，规范公开内容、强化监督检查、健全长效工作机制。</w:t>
      </w:r>
    </w:p>
    <w:p>
      <w:pPr>
        <w:spacing w:line="560" w:lineRule="exact"/>
        <w:ind w:firstLine="643" w:firstLineChars="200"/>
        <w:rPr>
          <w:rFonts w:ascii="仿宋_GB2312" w:hAnsi="楷体" w:eastAsia="仿宋_GB2312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/>
          <w:color w:val="auto"/>
          <w:kern w:val="22"/>
          <w:sz w:val="32"/>
          <w:szCs w:val="32"/>
        </w:rPr>
        <w:t>二是强化责任追究。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进一步完善保密审查、考核评议、责任追究等工作制度，梳理政务公开目录和负面清单，加强政务信息公开保密审核，做到有章可循、按章办事。按照“谁起草、谁解读”原则，做好政策解读工作，做到政策性文件与解读方案、解读材料同步组织、同步审签、同步部署。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ascii="黑体" w:hAnsi="黑体" w:eastAsia="黑体"/>
          <w:b/>
          <w:color w:val="auto"/>
          <w:sz w:val="32"/>
          <w:szCs w:val="32"/>
        </w:rPr>
      </w:pPr>
      <w:r>
        <w:rPr>
          <w:rFonts w:hint="eastAsia" w:ascii="黑体" w:hAnsi="黑体" w:eastAsia="黑体" w:cs="仿宋"/>
          <w:color w:val="auto"/>
          <w:sz w:val="32"/>
          <w:szCs w:val="32"/>
        </w:rPr>
        <w:t>二、</w:t>
      </w:r>
      <w:r>
        <w:rPr>
          <w:rFonts w:hint="eastAsia" w:ascii="黑体" w:hAnsi="黑体" w:eastAsia="黑体"/>
          <w:b/>
          <w:color w:val="auto"/>
          <w:sz w:val="32"/>
          <w:szCs w:val="32"/>
        </w:rPr>
        <w:t>主动公开政府信息情况</w:t>
      </w:r>
    </w:p>
    <w:tbl>
      <w:tblPr>
        <w:tblStyle w:val="10"/>
        <w:tblW w:w="8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1985"/>
        <w:gridCol w:w="2030"/>
        <w:gridCol w:w="2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694" w:type="dxa"/>
            <w:vAlign w:val="center"/>
          </w:tcPr>
          <w:p>
            <w:pPr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本年新制作数量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本年新</w:t>
            </w:r>
          </w:p>
          <w:p>
            <w:pPr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公开数量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对外公开</w:t>
            </w:r>
          </w:p>
          <w:p>
            <w:pPr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总数量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694" w:type="dxa"/>
            <w:vAlign w:val="center"/>
          </w:tcPr>
          <w:p>
            <w:pPr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规章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694" w:type="dxa"/>
            <w:vAlign w:val="center"/>
          </w:tcPr>
          <w:p>
            <w:pPr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规范性文件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0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694" w:type="dxa"/>
            <w:vAlign w:val="center"/>
          </w:tcPr>
          <w:p>
            <w:pPr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上一年项目数量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本年增/减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694" w:type="dxa"/>
            <w:vAlign w:val="center"/>
          </w:tcPr>
          <w:p>
            <w:pPr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行政许可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/>
                <w:color w:val="auto"/>
                <w:kern w:val="0"/>
                <w:sz w:val="24"/>
                <w:lang w:val="en-US" w:eastAsia="zh-CN"/>
              </w:rPr>
              <w:t>251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hint="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/>
                <w:color w:val="auto"/>
                <w:kern w:val="0"/>
                <w:sz w:val="24"/>
                <w:lang w:val="en-US" w:eastAsia="zh-CN"/>
              </w:rPr>
              <w:t>-88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hint="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/>
                <w:color w:val="auto"/>
                <w:kern w:val="0"/>
                <w:sz w:val="24"/>
                <w:lang w:val="en-US" w:eastAsia="zh-CN"/>
              </w:rPr>
              <w:t>163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694" w:type="dxa"/>
            <w:vAlign w:val="center"/>
          </w:tcPr>
          <w:p>
            <w:pPr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其他对外管理服务事项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/>
                <w:color w:val="auto"/>
                <w:kern w:val="0"/>
                <w:sz w:val="24"/>
                <w:lang w:val="en-US" w:eastAsia="zh-CN"/>
              </w:rPr>
              <w:t>1283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hint="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/>
                <w:color w:val="auto"/>
                <w:kern w:val="0"/>
                <w:sz w:val="24"/>
                <w:lang w:val="en-US" w:eastAsia="zh-CN"/>
              </w:rPr>
              <w:t>-725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hint="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/>
                <w:color w:val="auto"/>
                <w:kern w:val="0"/>
                <w:sz w:val="24"/>
                <w:lang w:val="en-US" w:eastAsia="zh-CN"/>
              </w:rPr>
              <w:t>558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694" w:type="dxa"/>
            <w:vAlign w:val="center"/>
          </w:tcPr>
          <w:p>
            <w:pPr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上一年项目数量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本年增/减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694" w:type="dxa"/>
            <w:vAlign w:val="center"/>
          </w:tcPr>
          <w:p>
            <w:pPr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行政处罚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hint="default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hint="default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694" w:type="dxa"/>
            <w:vAlign w:val="center"/>
          </w:tcPr>
          <w:p>
            <w:pPr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行政强制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hint="default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hint="default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694" w:type="dxa"/>
            <w:vAlign w:val="center"/>
          </w:tcPr>
          <w:p>
            <w:pPr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上一年项目数量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本年增/减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694" w:type="dxa"/>
            <w:vAlign w:val="center"/>
          </w:tcPr>
          <w:p>
            <w:pPr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行政事业性收费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第二十条第（九）项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694" w:type="dxa"/>
            <w:vAlign w:val="center"/>
          </w:tcPr>
          <w:p>
            <w:pPr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采购项目数量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采购总金额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694" w:type="dxa"/>
            <w:vAlign w:val="center"/>
          </w:tcPr>
          <w:p>
            <w:pPr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政府集中采购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</w:tr>
    </w:tbl>
    <w:p>
      <w:pPr>
        <w:pStyle w:val="8"/>
        <w:widowControl/>
        <w:spacing w:after="0"/>
        <w:ind w:firstLine="640" w:firstLineChars="200"/>
        <w:jc w:val="both"/>
        <w:rPr>
          <w:rFonts w:ascii="黑体" w:hAnsi="黑体" w:eastAsia="黑体" w:cs="仿宋"/>
          <w:color w:val="auto"/>
          <w:sz w:val="32"/>
          <w:szCs w:val="32"/>
        </w:rPr>
      </w:pPr>
    </w:p>
    <w:p>
      <w:pPr>
        <w:pStyle w:val="8"/>
        <w:widowControl/>
        <w:spacing w:after="0"/>
        <w:ind w:firstLine="640" w:firstLineChars="200"/>
        <w:jc w:val="both"/>
        <w:rPr>
          <w:rFonts w:ascii="黑体" w:hAnsi="黑体" w:eastAsia="黑体" w:cs="仿宋"/>
          <w:color w:val="auto"/>
          <w:sz w:val="32"/>
          <w:szCs w:val="32"/>
        </w:rPr>
      </w:pPr>
    </w:p>
    <w:p>
      <w:pPr>
        <w:pStyle w:val="8"/>
        <w:widowControl/>
        <w:spacing w:after="0"/>
        <w:ind w:firstLine="640" w:firstLineChars="200"/>
        <w:jc w:val="both"/>
        <w:rPr>
          <w:rFonts w:ascii="黑体" w:hAnsi="黑体" w:eastAsia="黑体" w:cs="仿宋"/>
          <w:color w:val="auto"/>
          <w:sz w:val="32"/>
          <w:szCs w:val="32"/>
        </w:rPr>
      </w:pPr>
    </w:p>
    <w:p>
      <w:pPr>
        <w:pStyle w:val="8"/>
        <w:widowControl/>
        <w:spacing w:after="0"/>
        <w:ind w:firstLine="640" w:firstLineChars="200"/>
        <w:jc w:val="both"/>
        <w:rPr>
          <w:rFonts w:ascii="黑体" w:hAnsi="黑体" w:eastAsia="黑体" w:cs="仿宋"/>
          <w:color w:val="auto"/>
          <w:sz w:val="32"/>
          <w:szCs w:val="32"/>
        </w:rPr>
      </w:pPr>
    </w:p>
    <w:p>
      <w:pPr>
        <w:pStyle w:val="8"/>
        <w:widowControl/>
        <w:spacing w:after="0"/>
        <w:ind w:firstLine="640" w:firstLineChars="200"/>
        <w:jc w:val="both"/>
        <w:rPr>
          <w:rFonts w:ascii="黑体" w:hAnsi="黑体" w:eastAsia="黑体" w:cs="仿宋"/>
          <w:color w:val="auto"/>
          <w:sz w:val="32"/>
          <w:szCs w:val="32"/>
        </w:rPr>
      </w:pPr>
    </w:p>
    <w:p>
      <w:pPr>
        <w:pStyle w:val="8"/>
        <w:widowControl/>
        <w:spacing w:after="0"/>
        <w:jc w:val="both"/>
        <w:rPr>
          <w:rFonts w:ascii="黑体" w:hAnsi="黑体" w:eastAsia="黑体" w:cs="仿宋"/>
          <w:color w:val="auto"/>
          <w:sz w:val="32"/>
          <w:szCs w:val="32"/>
        </w:rPr>
      </w:pPr>
    </w:p>
    <w:p>
      <w:pPr>
        <w:pStyle w:val="8"/>
        <w:widowControl/>
        <w:spacing w:after="0"/>
        <w:ind w:firstLine="640" w:firstLineChars="200"/>
        <w:jc w:val="both"/>
        <w:rPr>
          <w:rFonts w:ascii="仿宋_GB2312" w:hAnsi="仿宋" w:eastAsia="仿宋_GB2312" w:cs="仿宋"/>
          <w:color w:val="auto"/>
          <w:sz w:val="32"/>
          <w:szCs w:val="32"/>
        </w:rPr>
      </w:pPr>
      <w:r>
        <w:rPr>
          <w:rFonts w:hint="eastAsia" w:ascii="黑体" w:hAnsi="黑体" w:eastAsia="黑体" w:cs="仿宋"/>
          <w:color w:val="auto"/>
          <w:sz w:val="32"/>
          <w:szCs w:val="32"/>
        </w:rPr>
        <w:t>三、</w:t>
      </w:r>
      <w:r>
        <w:rPr>
          <w:rFonts w:hint="eastAsia" w:ascii="黑体" w:hAnsi="黑体" w:eastAsia="黑体"/>
          <w:b/>
          <w:color w:val="auto"/>
          <w:sz w:val="32"/>
          <w:szCs w:val="32"/>
        </w:rPr>
        <w:t>收到和处理政府信息公开申请情况</w:t>
      </w:r>
    </w:p>
    <w:tbl>
      <w:tblPr>
        <w:tblStyle w:val="10"/>
        <w:tblW w:w="9781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560"/>
        <w:gridCol w:w="2693"/>
        <w:gridCol w:w="567"/>
        <w:gridCol w:w="709"/>
        <w:gridCol w:w="708"/>
        <w:gridCol w:w="709"/>
        <w:gridCol w:w="709"/>
        <w:gridCol w:w="709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4820" w:type="dxa"/>
            <w:gridSpan w:val="3"/>
            <w:vMerge w:val="restart"/>
            <w:vAlign w:val="center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（本列数据的勾稽关系为：第一项加第二项之和，等于第三项加第四项之和）</w:t>
            </w:r>
          </w:p>
        </w:tc>
        <w:tc>
          <w:tcPr>
            <w:tcW w:w="4961" w:type="dxa"/>
            <w:gridSpan w:val="7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4820" w:type="dxa"/>
            <w:gridSpan w:val="3"/>
            <w:vMerge w:val="continue"/>
          </w:tcPr>
          <w:p>
            <w:pPr>
              <w:rPr>
                <w:color w:val="auto"/>
                <w:kern w:val="0"/>
                <w:sz w:val="20"/>
              </w:rPr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自然人</w:t>
            </w:r>
          </w:p>
        </w:tc>
        <w:tc>
          <w:tcPr>
            <w:tcW w:w="3544" w:type="dxa"/>
            <w:gridSpan w:val="5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法人或其他组织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4820" w:type="dxa"/>
            <w:gridSpan w:val="3"/>
            <w:vMerge w:val="continue"/>
          </w:tcPr>
          <w:p>
            <w:pPr>
              <w:rPr>
                <w:color w:val="auto"/>
                <w:kern w:val="0"/>
                <w:sz w:val="20"/>
              </w:rPr>
            </w:pPr>
          </w:p>
        </w:tc>
        <w:tc>
          <w:tcPr>
            <w:tcW w:w="567" w:type="dxa"/>
            <w:vMerge w:val="continue"/>
          </w:tcPr>
          <w:p>
            <w:pPr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商业企业</w:t>
            </w:r>
          </w:p>
        </w:tc>
        <w:tc>
          <w:tcPr>
            <w:tcW w:w="708" w:type="dxa"/>
            <w:vAlign w:val="center"/>
          </w:tcPr>
          <w:p>
            <w:pPr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科研机构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社会公益组织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法律服务机构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其他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rPr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4820" w:type="dxa"/>
            <w:gridSpan w:val="3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一、本年新收政府信息公开申请数量</w:t>
            </w:r>
          </w:p>
        </w:tc>
        <w:tc>
          <w:tcPr>
            <w:tcW w:w="567" w:type="dxa"/>
          </w:tcPr>
          <w:p>
            <w:pPr>
              <w:rPr>
                <w:rFonts w:hint="eastAsia" w:eastAsia="宋体"/>
                <w:color w:val="auto"/>
                <w:kern w:val="0"/>
                <w:sz w:val="20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lang w:val="en-US" w:eastAsia="zh-CN"/>
              </w:rPr>
              <w:t>7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eastAsia="宋体"/>
                <w:color w:val="auto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hint="eastAsia" w:eastAsia="宋体"/>
                <w:color w:val="auto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4820" w:type="dxa"/>
            <w:gridSpan w:val="3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二、上年结转政府信息公开申请数量</w:t>
            </w:r>
          </w:p>
        </w:tc>
        <w:tc>
          <w:tcPr>
            <w:tcW w:w="567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rPr>
                <w:rFonts w:hint="eastAsia" w:eastAsia="宋体"/>
                <w:color w:val="auto"/>
                <w:kern w:val="0"/>
                <w:sz w:val="20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567" w:type="dxa"/>
            <w:vMerge w:val="restart"/>
            <w:vAlign w:val="center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三、本年度办理结果</w:t>
            </w:r>
          </w:p>
        </w:tc>
        <w:tc>
          <w:tcPr>
            <w:tcW w:w="4253" w:type="dxa"/>
            <w:gridSpan w:val="2"/>
          </w:tcPr>
          <w:p>
            <w:pPr>
              <w:rPr>
                <w:rFonts w:asciiTheme="minorEastAsia" w:hAnsi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</w:rPr>
              <w:t>（一）予以公开</w:t>
            </w:r>
          </w:p>
        </w:tc>
        <w:tc>
          <w:tcPr>
            <w:tcW w:w="567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rPr>
                <w:rFonts w:hint="eastAsia" w:eastAsia="宋体"/>
                <w:color w:val="auto"/>
                <w:kern w:val="0"/>
                <w:sz w:val="20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>
            <w:pPr>
              <w:rPr>
                <w:color w:val="auto"/>
                <w:kern w:val="0"/>
                <w:sz w:val="20"/>
              </w:rPr>
            </w:pPr>
          </w:p>
        </w:tc>
        <w:tc>
          <w:tcPr>
            <w:tcW w:w="4253" w:type="dxa"/>
            <w:gridSpan w:val="2"/>
          </w:tcPr>
          <w:p>
            <w:pPr>
              <w:rPr>
                <w:rFonts w:asciiTheme="minorEastAsia" w:hAnsi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567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rPr>
                <w:rFonts w:hint="eastAsia" w:eastAsia="宋体"/>
                <w:color w:val="auto"/>
                <w:kern w:val="0"/>
                <w:sz w:val="20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67" w:type="dxa"/>
            <w:vMerge w:val="continue"/>
          </w:tcPr>
          <w:p>
            <w:pPr>
              <w:rPr>
                <w:color w:val="auto"/>
                <w:kern w:val="0"/>
                <w:sz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rPr>
                <w:rFonts w:asciiTheme="minorEastAsia" w:hAnsi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</w:rPr>
              <w:t>（三）不予公开</w:t>
            </w: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asciiTheme="minorEastAsia" w:hAnsiTheme="minorEastAsia"/>
                <w:color w:val="auto"/>
                <w:kern w:val="0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</w:rPr>
              <w:t>．属于国家秘密</w:t>
            </w:r>
          </w:p>
        </w:tc>
        <w:tc>
          <w:tcPr>
            <w:tcW w:w="567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567" w:type="dxa"/>
            <w:vMerge w:val="continue"/>
          </w:tcPr>
          <w:p>
            <w:pPr>
              <w:rPr>
                <w:color w:val="auto"/>
                <w:kern w:val="0"/>
                <w:sz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</w:rPr>
              <w:t>2．其他法律行政法规禁止公开</w:t>
            </w:r>
          </w:p>
        </w:tc>
        <w:tc>
          <w:tcPr>
            <w:tcW w:w="567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67" w:type="dxa"/>
            <w:vMerge w:val="continue"/>
          </w:tcPr>
          <w:p>
            <w:pPr>
              <w:rPr>
                <w:color w:val="auto"/>
                <w:kern w:val="0"/>
                <w:sz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</w:rPr>
              <w:t>3．危及“三安全一稳定”</w:t>
            </w:r>
          </w:p>
        </w:tc>
        <w:tc>
          <w:tcPr>
            <w:tcW w:w="567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7" w:type="dxa"/>
            <w:vMerge w:val="continue"/>
          </w:tcPr>
          <w:p>
            <w:pPr>
              <w:rPr>
                <w:color w:val="auto"/>
                <w:kern w:val="0"/>
                <w:sz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</w:rPr>
              <w:t>4．保护第三方合法权益</w:t>
            </w:r>
          </w:p>
        </w:tc>
        <w:tc>
          <w:tcPr>
            <w:tcW w:w="567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67" w:type="dxa"/>
            <w:vMerge w:val="continue"/>
          </w:tcPr>
          <w:p>
            <w:pPr>
              <w:rPr>
                <w:color w:val="auto"/>
                <w:kern w:val="0"/>
                <w:sz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</w:rPr>
              <w:t>5．属于三类内部事务信息</w:t>
            </w:r>
          </w:p>
        </w:tc>
        <w:tc>
          <w:tcPr>
            <w:tcW w:w="567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567" w:type="dxa"/>
            <w:vMerge w:val="continue"/>
          </w:tcPr>
          <w:p>
            <w:pPr>
              <w:rPr>
                <w:color w:val="auto"/>
                <w:kern w:val="0"/>
                <w:sz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</w:rPr>
              <w:t>6．属于四类过程性信息</w:t>
            </w:r>
          </w:p>
        </w:tc>
        <w:tc>
          <w:tcPr>
            <w:tcW w:w="567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67" w:type="dxa"/>
            <w:vMerge w:val="continue"/>
          </w:tcPr>
          <w:p>
            <w:pPr>
              <w:rPr>
                <w:color w:val="auto"/>
                <w:kern w:val="0"/>
                <w:sz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</w:rPr>
              <w:t>7．属于行政执法案卷</w:t>
            </w:r>
          </w:p>
        </w:tc>
        <w:tc>
          <w:tcPr>
            <w:tcW w:w="567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567" w:type="dxa"/>
            <w:vMerge w:val="continue"/>
          </w:tcPr>
          <w:p>
            <w:pPr>
              <w:rPr>
                <w:color w:val="auto"/>
                <w:kern w:val="0"/>
                <w:sz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</w:rPr>
              <w:t>8．属于行政查询事项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eastAsia="宋体"/>
                <w:color w:val="auto"/>
                <w:kern w:val="0"/>
                <w:sz w:val="20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lang w:val="en-US" w:eastAsia="zh-CN"/>
              </w:rPr>
              <w:t>1</w:t>
            </w:r>
          </w:p>
        </w:tc>
        <w:tc>
          <w:tcPr>
            <w:tcW w:w="709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rPr>
                <w:rFonts w:hint="eastAsia" w:eastAsia="宋体"/>
                <w:color w:val="auto"/>
                <w:kern w:val="0"/>
                <w:sz w:val="20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567" w:type="dxa"/>
            <w:vMerge w:val="continue"/>
          </w:tcPr>
          <w:p>
            <w:pPr>
              <w:rPr>
                <w:color w:val="auto"/>
                <w:kern w:val="0"/>
                <w:sz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（四）无法提供</w:t>
            </w: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</w:rPr>
              <w:t>1．本机关不掌握相关政府信息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eastAsia="宋体"/>
                <w:color w:val="auto"/>
                <w:kern w:val="0"/>
                <w:sz w:val="20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lang w:val="en-US" w:eastAsia="zh-CN"/>
              </w:rPr>
              <w:t>6</w:t>
            </w:r>
          </w:p>
        </w:tc>
        <w:tc>
          <w:tcPr>
            <w:tcW w:w="709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rPr>
                <w:rFonts w:hint="eastAsia" w:eastAsia="宋体"/>
                <w:color w:val="auto"/>
                <w:kern w:val="0"/>
                <w:sz w:val="20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567" w:type="dxa"/>
            <w:vMerge w:val="continue"/>
          </w:tcPr>
          <w:p>
            <w:pPr>
              <w:rPr>
                <w:color w:val="auto"/>
                <w:kern w:val="0"/>
                <w:sz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</w:rPr>
              <w:t>2．没有现成信息需要另行制作</w:t>
            </w:r>
          </w:p>
        </w:tc>
        <w:tc>
          <w:tcPr>
            <w:tcW w:w="567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>
            <w:pPr>
              <w:rPr>
                <w:color w:val="auto"/>
                <w:kern w:val="0"/>
                <w:sz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</w:rPr>
              <w:t>3．补正后申请内容仍不明确</w:t>
            </w:r>
          </w:p>
        </w:tc>
        <w:tc>
          <w:tcPr>
            <w:tcW w:w="567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567" w:type="dxa"/>
            <w:vMerge w:val="continue"/>
          </w:tcPr>
          <w:p>
            <w:pPr>
              <w:rPr>
                <w:color w:val="auto"/>
                <w:kern w:val="0"/>
                <w:sz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（五）</w:t>
            </w: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</w:rPr>
              <w:t>不予处理</w:t>
            </w: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</w:rPr>
              <w:t>1．信访举报投诉类申请</w:t>
            </w:r>
          </w:p>
        </w:tc>
        <w:tc>
          <w:tcPr>
            <w:tcW w:w="567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>
            <w:pPr>
              <w:rPr>
                <w:color w:val="auto"/>
                <w:kern w:val="0"/>
                <w:sz w:val="20"/>
              </w:rPr>
            </w:pPr>
          </w:p>
        </w:tc>
        <w:tc>
          <w:tcPr>
            <w:tcW w:w="1560" w:type="dxa"/>
            <w:vMerge w:val="continue"/>
          </w:tcPr>
          <w:p>
            <w:pPr>
              <w:rPr>
                <w:color w:val="auto"/>
                <w:kern w:val="0"/>
                <w:sz w:val="20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</w:rPr>
              <w:t>2．重复申请</w:t>
            </w:r>
          </w:p>
        </w:tc>
        <w:tc>
          <w:tcPr>
            <w:tcW w:w="567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567" w:type="dxa"/>
            <w:vMerge w:val="continue"/>
          </w:tcPr>
          <w:p>
            <w:pPr>
              <w:rPr>
                <w:color w:val="auto"/>
                <w:kern w:val="0"/>
                <w:sz w:val="20"/>
              </w:rPr>
            </w:pPr>
          </w:p>
        </w:tc>
        <w:tc>
          <w:tcPr>
            <w:tcW w:w="1560" w:type="dxa"/>
            <w:vMerge w:val="continue"/>
          </w:tcPr>
          <w:p>
            <w:pPr>
              <w:rPr>
                <w:color w:val="auto"/>
                <w:kern w:val="0"/>
                <w:sz w:val="20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asciiTheme="minorEastAsia" w:hAnsiTheme="minorEastAsia"/>
                <w:color w:val="auto"/>
                <w:kern w:val="0"/>
                <w:sz w:val="18"/>
                <w:szCs w:val="18"/>
              </w:rPr>
              <w:t>3</w:t>
            </w: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</w:rPr>
              <w:t>．要求提供公开出版物</w:t>
            </w:r>
          </w:p>
        </w:tc>
        <w:tc>
          <w:tcPr>
            <w:tcW w:w="567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67" w:type="dxa"/>
            <w:vMerge w:val="continue"/>
          </w:tcPr>
          <w:p>
            <w:pPr>
              <w:rPr>
                <w:color w:val="auto"/>
                <w:kern w:val="0"/>
                <w:sz w:val="20"/>
              </w:rPr>
            </w:pPr>
          </w:p>
        </w:tc>
        <w:tc>
          <w:tcPr>
            <w:tcW w:w="1560" w:type="dxa"/>
            <w:vMerge w:val="continue"/>
          </w:tcPr>
          <w:p>
            <w:pPr>
              <w:rPr>
                <w:color w:val="auto"/>
                <w:kern w:val="0"/>
                <w:sz w:val="20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</w:rPr>
              <w:t>4．无正当理由大量反复申请</w:t>
            </w:r>
          </w:p>
        </w:tc>
        <w:tc>
          <w:tcPr>
            <w:tcW w:w="567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>
            <w:pPr>
              <w:rPr>
                <w:color w:val="auto"/>
                <w:kern w:val="0"/>
                <w:sz w:val="20"/>
              </w:rPr>
            </w:pPr>
          </w:p>
        </w:tc>
        <w:tc>
          <w:tcPr>
            <w:tcW w:w="1560" w:type="dxa"/>
            <w:vMerge w:val="continue"/>
          </w:tcPr>
          <w:p>
            <w:pPr>
              <w:rPr>
                <w:color w:val="auto"/>
                <w:kern w:val="0"/>
                <w:sz w:val="20"/>
              </w:rPr>
            </w:pPr>
          </w:p>
        </w:tc>
        <w:tc>
          <w:tcPr>
            <w:tcW w:w="2693" w:type="dxa"/>
          </w:tcPr>
          <w:p>
            <w:pPr>
              <w:ind w:left="180" w:hanging="180" w:hangingChars="100"/>
              <w:rPr>
                <w:rFonts w:asciiTheme="minorEastAsia" w:hAnsi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</w:rPr>
              <w:t>5．要求行政机关确认或重新出具已获取信息</w:t>
            </w:r>
          </w:p>
        </w:tc>
        <w:tc>
          <w:tcPr>
            <w:tcW w:w="567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67" w:type="dxa"/>
            <w:vMerge w:val="continue"/>
          </w:tcPr>
          <w:p>
            <w:pPr>
              <w:rPr>
                <w:color w:val="auto"/>
                <w:kern w:val="0"/>
                <w:sz w:val="20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（六）其他处理</w:t>
            </w:r>
          </w:p>
        </w:tc>
        <w:tc>
          <w:tcPr>
            <w:tcW w:w="567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67" w:type="dxa"/>
            <w:vMerge w:val="continue"/>
          </w:tcPr>
          <w:p>
            <w:pPr>
              <w:rPr>
                <w:color w:val="auto"/>
                <w:kern w:val="0"/>
                <w:sz w:val="20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（七）总计</w:t>
            </w:r>
          </w:p>
        </w:tc>
        <w:tc>
          <w:tcPr>
            <w:tcW w:w="567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0" w:type="dxa"/>
            <w:gridSpan w:val="3"/>
            <w:vAlign w:val="center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四、结转下年度继续办理</w:t>
            </w:r>
          </w:p>
        </w:tc>
        <w:tc>
          <w:tcPr>
            <w:tcW w:w="567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</w:tr>
    </w:tbl>
    <w:p>
      <w:pPr>
        <w:pStyle w:val="8"/>
        <w:widowControl/>
        <w:spacing w:after="0"/>
        <w:rPr>
          <w:rFonts w:ascii="仿宋_GB2312" w:hAnsi="仿宋" w:eastAsia="仿宋_GB2312" w:cs="仿宋"/>
          <w:color w:val="auto"/>
          <w:sz w:val="32"/>
          <w:szCs w:val="32"/>
        </w:rPr>
      </w:pPr>
    </w:p>
    <w:p>
      <w:pPr>
        <w:pStyle w:val="8"/>
        <w:widowControl/>
        <w:spacing w:after="0"/>
        <w:ind w:firstLine="640" w:firstLineChars="20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 w:cs="仿宋"/>
          <w:color w:val="auto"/>
          <w:sz w:val="32"/>
          <w:szCs w:val="32"/>
        </w:rPr>
        <w:t>四、</w:t>
      </w:r>
      <w:r>
        <w:rPr>
          <w:rFonts w:hint="eastAsia" w:ascii="黑体" w:hAnsi="黑体" w:eastAsia="黑体"/>
          <w:color w:val="auto"/>
          <w:sz w:val="32"/>
          <w:szCs w:val="32"/>
        </w:rPr>
        <w:t>政府信息公开行政复议、行政诉讼情况</w:t>
      </w:r>
    </w:p>
    <w:tbl>
      <w:tblPr>
        <w:tblStyle w:val="10"/>
        <w:tblW w:w="10319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08"/>
        <w:gridCol w:w="709"/>
        <w:gridCol w:w="682"/>
        <w:gridCol w:w="594"/>
        <w:gridCol w:w="709"/>
        <w:gridCol w:w="709"/>
        <w:gridCol w:w="709"/>
        <w:gridCol w:w="708"/>
        <w:gridCol w:w="567"/>
        <w:gridCol w:w="851"/>
        <w:gridCol w:w="650"/>
        <w:gridCol w:w="767"/>
        <w:gridCol w:w="709"/>
        <w:gridCol w:w="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</w:trPr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行政复议</w:t>
            </w:r>
          </w:p>
        </w:tc>
        <w:tc>
          <w:tcPr>
            <w:tcW w:w="6917" w:type="dxa"/>
            <w:gridSpan w:val="10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结果维持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结果纠正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其他结果</w:t>
            </w:r>
          </w:p>
        </w:tc>
        <w:tc>
          <w:tcPr>
            <w:tcW w:w="682" w:type="dxa"/>
            <w:vMerge w:val="restart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尚未审结</w:t>
            </w:r>
          </w:p>
        </w:tc>
        <w:tc>
          <w:tcPr>
            <w:tcW w:w="594" w:type="dxa"/>
            <w:vMerge w:val="restart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总计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未经复议直接起诉</w:t>
            </w:r>
          </w:p>
        </w:tc>
        <w:tc>
          <w:tcPr>
            <w:tcW w:w="3515" w:type="dxa"/>
            <w:gridSpan w:val="5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82" w:type="dxa"/>
            <w:vMerge w:val="continue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94" w:type="dxa"/>
            <w:vMerge w:val="continue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结果维持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其他结果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尚未审结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总计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结果维持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结果纠正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其他结果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尚未审结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09" w:type="dxa"/>
            <w:vAlign w:val="center"/>
          </w:tcPr>
          <w:p>
            <w:pPr>
              <w:rPr>
                <w:rFonts w:hint="eastAsia" w:eastAsia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hint="default"/>
                <w:color w:val="auto"/>
                <w:kern w:val="0"/>
                <w:sz w:val="24"/>
                <w:lang w:val="en-US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default"/>
                <w:color w:val="auto"/>
                <w:kern w:val="0"/>
                <w:sz w:val="24"/>
                <w:lang w:val="en-US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2" w:type="dxa"/>
            <w:vAlign w:val="center"/>
          </w:tcPr>
          <w:p>
            <w:pPr>
              <w:rPr>
                <w:rFonts w:hint="default"/>
                <w:color w:val="auto"/>
                <w:kern w:val="0"/>
                <w:sz w:val="24"/>
                <w:lang w:val="en-US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594" w:type="dxa"/>
            <w:vAlign w:val="center"/>
          </w:tcPr>
          <w:p>
            <w:pPr>
              <w:rPr>
                <w:rFonts w:hint="default"/>
                <w:color w:val="auto"/>
                <w:kern w:val="0"/>
                <w:sz w:val="24"/>
                <w:lang w:val="en-US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default"/>
                <w:color w:val="auto"/>
                <w:kern w:val="0"/>
                <w:sz w:val="24"/>
                <w:lang w:val="en-US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default"/>
                <w:color w:val="auto"/>
                <w:kern w:val="0"/>
                <w:sz w:val="24"/>
                <w:lang w:val="en-US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default"/>
                <w:color w:val="auto"/>
                <w:kern w:val="0"/>
                <w:sz w:val="24"/>
                <w:lang w:val="en-US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hint="default"/>
                <w:color w:val="auto"/>
                <w:kern w:val="0"/>
                <w:sz w:val="24"/>
                <w:lang w:val="en-US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hint="default"/>
                <w:color w:val="auto"/>
                <w:kern w:val="0"/>
                <w:sz w:val="24"/>
                <w:lang w:val="en-US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hint="default"/>
                <w:color w:val="auto"/>
                <w:kern w:val="0"/>
                <w:sz w:val="24"/>
                <w:lang w:val="en-US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rPr>
                <w:rFonts w:hint="default"/>
                <w:color w:val="auto"/>
                <w:kern w:val="0"/>
                <w:sz w:val="24"/>
                <w:lang w:val="en-US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67" w:type="dxa"/>
            <w:vAlign w:val="center"/>
          </w:tcPr>
          <w:p>
            <w:pPr>
              <w:rPr>
                <w:rFonts w:hint="default"/>
                <w:color w:val="auto"/>
                <w:kern w:val="0"/>
                <w:sz w:val="24"/>
                <w:lang w:val="en-US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default"/>
                <w:color w:val="auto"/>
                <w:kern w:val="0"/>
                <w:sz w:val="24"/>
                <w:lang w:val="en-US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538" w:type="dxa"/>
            <w:vAlign w:val="center"/>
          </w:tcPr>
          <w:p>
            <w:pPr>
              <w:rPr>
                <w:rFonts w:hint="default"/>
                <w:color w:val="auto"/>
                <w:kern w:val="0"/>
                <w:sz w:val="24"/>
                <w:lang w:val="en-US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</w:tr>
    </w:tbl>
    <w:p>
      <w:pPr>
        <w:pStyle w:val="8"/>
        <w:widowControl/>
        <w:spacing w:after="0" w:line="560" w:lineRule="exact"/>
        <w:ind w:firstLine="640" w:firstLineChars="200"/>
        <w:jc w:val="both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 w:cs="仿宋"/>
          <w:color w:val="auto"/>
          <w:sz w:val="32"/>
          <w:szCs w:val="32"/>
        </w:rPr>
        <w:t>五、</w:t>
      </w:r>
      <w:r>
        <w:rPr>
          <w:rFonts w:hint="eastAsia" w:ascii="黑体" w:hAnsi="黑体" w:eastAsia="黑体"/>
          <w:color w:val="auto"/>
          <w:sz w:val="32"/>
          <w:szCs w:val="32"/>
        </w:rPr>
        <w:t>存在的主要问题及改进情况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ascii="楷体_GB2312" w:hAnsi="黑体" w:eastAsia="楷体_GB2312" w:cs="仿宋"/>
          <w:color w:val="auto"/>
          <w:sz w:val="32"/>
          <w:szCs w:val="32"/>
        </w:rPr>
      </w:pPr>
      <w:r>
        <w:rPr>
          <w:rFonts w:hint="eastAsia" w:ascii="楷体_GB2312" w:hAnsi="黑体" w:eastAsia="楷体_GB2312"/>
          <w:color w:val="auto"/>
          <w:sz w:val="32"/>
          <w:szCs w:val="32"/>
        </w:rPr>
        <w:t>（一）存在问题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虽然我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在信息公开方面取得了一定的成效，但离群众的要求还有一定的差距。政务信息公开工作规范性有待进一步加强；主动向社会公开信息的领域有待进一步拓展；公开形式便民性需要进一步提高；宣传力度仍然不够；信息的实时性还有待加强。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ascii="楷体_GB2312" w:hAnsi="黑体" w:eastAsia="楷体_GB2312"/>
          <w:color w:val="auto"/>
          <w:sz w:val="32"/>
          <w:szCs w:val="32"/>
        </w:rPr>
      </w:pPr>
      <w:r>
        <w:rPr>
          <w:rFonts w:hint="eastAsia" w:ascii="楷体_GB2312" w:hAnsi="黑体" w:eastAsia="楷体_GB2312"/>
          <w:color w:val="auto"/>
          <w:sz w:val="32"/>
          <w:szCs w:val="32"/>
        </w:rPr>
        <w:t>（二）改进措施</w:t>
      </w:r>
    </w:p>
    <w:p>
      <w:pPr>
        <w:pStyle w:val="8"/>
        <w:widowControl/>
        <w:spacing w:after="0" w:line="56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加大政府信息工作的宣传教育力度。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我局将按照 “以公开为原则，不公开为例外”的要求，妥善处理公开与保密的关系，合理界定信息公开与否的范围，做到积极稳妥，注重时效，优质服务。切实服务社会，方便群众，推进政务的公开、公正、透明。</w:t>
      </w:r>
    </w:p>
    <w:p>
      <w:pPr>
        <w:pStyle w:val="8"/>
        <w:widowControl/>
        <w:spacing w:after="0" w:line="560" w:lineRule="exact"/>
        <w:ind w:firstLine="643" w:firstLineChars="200"/>
        <w:jc w:val="both"/>
        <w:rPr>
          <w:rFonts w:hint="eastAsia" w:ascii="楷体_GB2312" w:hAnsi="黑体" w:eastAsia="楷体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进一步健全机制，强化纪律。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定期对本局政务信息公开的工作进行总结、自查。并将政务信息公开工作纳入目标管理进行考核。进一步健全政府信息公开工作的组织协调，强化政府信息的网上发布，加强对局属科室、单位政府信息公开工作的督促和指导。</w:t>
      </w:r>
    </w:p>
    <w:p>
      <w:pPr>
        <w:spacing w:line="560" w:lineRule="exact"/>
        <w:ind w:firstLine="640" w:firstLineChars="200"/>
        <w:jc w:val="left"/>
        <w:outlineLvl w:val="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六、其他需要报告的事项</w:t>
      </w:r>
    </w:p>
    <w:p>
      <w:pPr>
        <w:spacing w:line="560" w:lineRule="exact"/>
        <w:ind w:firstLine="576" w:firstLineChars="18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无。</w:t>
      </w:r>
    </w:p>
    <w:p>
      <w:pPr>
        <w:pStyle w:val="8"/>
        <w:widowControl/>
        <w:spacing w:after="0" w:line="560" w:lineRule="exact"/>
        <w:ind w:left="1598" w:leftChars="304" w:hanging="960" w:hangingChars="300"/>
        <w:jc w:val="both"/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eastAsia="zh-CN"/>
        </w:rPr>
        <w:t>附件：1、高青县住房和城乡建设局2019年政府信息公开工作年度报告Word版本下载</w:t>
      </w:r>
    </w:p>
    <w:p>
      <w:pPr>
        <w:pStyle w:val="8"/>
        <w:widowControl/>
        <w:spacing w:after="0" w:line="560" w:lineRule="exact"/>
        <w:ind w:left="1596" w:leftChars="760" w:firstLine="0" w:firstLineChars="0"/>
        <w:jc w:val="both"/>
        <w:rPr>
          <w:rFonts w:hint="default" w:ascii="Times New Roman" w:hAnsi="Times New Roman" w:eastAsia="仿宋_GB2312"/>
          <w:color w:val="auto"/>
          <w:kern w:val="2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kern w:val="22"/>
          <w:sz w:val="32"/>
          <w:szCs w:val="32"/>
          <w:lang w:val="en-US" w:eastAsia="zh-CN"/>
        </w:rPr>
        <w:t>2、高青县住房和城乡建设局2019年政府信息公开工作年度报告PDF版本下载</w:t>
      </w:r>
    </w:p>
    <w:p>
      <w:pPr>
        <w:pStyle w:val="8"/>
        <w:widowControl/>
        <w:spacing w:after="0" w:line="560" w:lineRule="exact"/>
        <w:ind w:left="1596" w:leftChars="760" w:firstLine="0" w:firstLineChars="0"/>
        <w:jc w:val="both"/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val="en-US" w:eastAsia="zh-CN"/>
        </w:rPr>
        <w:t>3、</w:t>
      </w:r>
      <w:r>
        <w:rPr>
          <w:rFonts w:hint="default" w:ascii="Times New Roman" w:hAnsi="Times New Roman" w:eastAsia="仿宋_GB2312"/>
          <w:color w:val="auto"/>
          <w:kern w:val="22"/>
          <w:sz w:val="32"/>
          <w:szCs w:val="32"/>
          <w:lang w:val="en-US" w:eastAsia="zh-CN"/>
        </w:rPr>
        <w:t>高青县住房和城乡建设局2019年政府信息公开工作年度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val="en-US" w:eastAsia="zh-CN"/>
        </w:rPr>
        <w:t>报告解读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ascii="Times New Roman" w:hAnsi="Times New Roman" w:eastAsia="仿宋_GB2312"/>
          <w:color w:val="auto"/>
          <w:kern w:val="22"/>
          <w:sz w:val="32"/>
          <w:szCs w:val="32"/>
        </w:rPr>
      </w:pPr>
    </w:p>
    <w:p>
      <w:pPr>
        <w:pStyle w:val="8"/>
        <w:widowControl/>
        <w:spacing w:after="0" w:line="560" w:lineRule="exact"/>
        <w:ind w:firstLine="640" w:firstLineChars="200"/>
        <w:jc w:val="center"/>
        <w:rPr>
          <w:rFonts w:ascii="Times New Roman" w:hAnsi="Times New Roman" w:eastAsia="仿宋_GB2312"/>
          <w:color w:val="auto"/>
          <w:kern w:val="22"/>
          <w:sz w:val="32"/>
          <w:szCs w:val="32"/>
        </w:rPr>
      </w:pPr>
    </w:p>
    <w:p>
      <w:pPr>
        <w:pStyle w:val="8"/>
        <w:widowControl/>
        <w:spacing w:after="0" w:line="560" w:lineRule="exact"/>
        <w:ind w:firstLine="640" w:firstLineChars="200"/>
        <w:jc w:val="center"/>
        <w:rPr>
          <w:rFonts w:ascii="Times New Roman" w:hAnsi="Times New Roman" w:eastAsia="仿宋_GB2312"/>
          <w:color w:val="auto"/>
          <w:kern w:val="22"/>
          <w:sz w:val="32"/>
          <w:szCs w:val="32"/>
        </w:rPr>
      </w:pPr>
    </w:p>
    <w:p>
      <w:pPr>
        <w:pStyle w:val="8"/>
        <w:widowControl/>
        <w:spacing w:after="0" w:line="560" w:lineRule="exact"/>
        <w:jc w:val="right"/>
        <w:rPr>
          <w:rFonts w:hint="eastAsia" w:ascii="仿宋_GB2312" w:hAnsi="仿宋" w:eastAsia="仿宋_GB2312" w:cs="仿宋"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color w:val="auto"/>
          <w:kern w:val="2"/>
          <w:sz w:val="32"/>
          <w:szCs w:val="32"/>
        </w:rPr>
        <w:t>高青县</w:t>
      </w:r>
      <w:r>
        <w:rPr>
          <w:rFonts w:hint="eastAsia" w:ascii="仿宋_GB2312" w:hAnsi="仿宋" w:eastAsia="仿宋_GB2312" w:cs="仿宋"/>
          <w:color w:val="auto"/>
          <w:kern w:val="2"/>
          <w:sz w:val="32"/>
          <w:szCs w:val="32"/>
          <w:lang w:eastAsia="zh-CN"/>
        </w:rPr>
        <w:t>住房和城乡建设局</w:t>
      </w:r>
    </w:p>
    <w:p>
      <w:pPr>
        <w:pStyle w:val="8"/>
        <w:widowControl/>
        <w:spacing w:after="0" w:line="560" w:lineRule="exact"/>
        <w:jc w:val="right"/>
        <w:rPr>
          <w:rFonts w:hint="eastAsia" w:ascii="仿宋_GB2312" w:hAnsi="仿宋" w:eastAsia="仿宋_GB2312" w:cs="仿宋"/>
          <w:color w:val="auto"/>
          <w:kern w:val="2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kern w:val="2"/>
          <w:sz w:val="32"/>
          <w:szCs w:val="32"/>
        </w:rPr>
        <w:t>2020年1月</w:t>
      </w:r>
      <w:r>
        <w:rPr>
          <w:rFonts w:hint="eastAsia" w:ascii="仿宋_GB2312" w:hAnsi="仿宋" w:eastAsia="仿宋_GB2312" w:cs="仿宋"/>
          <w:color w:val="auto"/>
          <w:kern w:val="2"/>
          <w:sz w:val="32"/>
          <w:szCs w:val="32"/>
          <w:lang w:val="en-US" w:eastAsia="zh-CN"/>
        </w:rPr>
        <w:t>15</w:t>
      </w:r>
      <w:r>
        <w:rPr>
          <w:rFonts w:hint="eastAsia" w:ascii="仿宋_GB2312" w:hAnsi="仿宋" w:eastAsia="仿宋_GB2312" w:cs="仿宋"/>
          <w:color w:val="auto"/>
          <w:kern w:val="2"/>
          <w:sz w:val="32"/>
          <w:szCs w:val="32"/>
        </w:rPr>
        <w:t>日</w:t>
      </w:r>
    </w:p>
    <w:p>
      <w:pPr>
        <w:pStyle w:val="8"/>
        <w:widowControl/>
        <w:spacing w:after="0" w:line="560" w:lineRule="exact"/>
        <w:jc w:val="both"/>
        <w:rPr>
          <w:rFonts w:hint="eastAsia" w:ascii="黑体" w:hAnsi="黑体" w:eastAsia="黑体" w:cs="黑体"/>
          <w:color w:val="auto"/>
          <w:kern w:val="22"/>
          <w:sz w:val="32"/>
          <w:szCs w:val="32"/>
          <w:lang w:val="en-US" w:eastAsia="zh-CN"/>
        </w:rPr>
      </w:pPr>
    </w:p>
    <w:p>
      <w:pPr>
        <w:pStyle w:val="8"/>
        <w:widowControl/>
        <w:spacing w:after="0" w:line="560" w:lineRule="exact"/>
        <w:jc w:val="both"/>
        <w:rPr>
          <w:rFonts w:hint="eastAsia" w:ascii="黑体" w:hAnsi="黑体" w:eastAsia="黑体" w:cs="黑体"/>
          <w:color w:val="auto"/>
          <w:kern w:val="22"/>
          <w:sz w:val="32"/>
          <w:szCs w:val="32"/>
          <w:lang w:val="en-US" w:eastAsia="zh-CN"/>
        </w:rPr>
      </w:pPr>
    </w:p>
    <w:p>
      <w:pPr>
        <w:pStyle w:val="8"/>
        <w:widowControl/>
        <w:spacing w:after="0" w:line="560" w:lineRule="exact"/>
        <w:jc w:val="both"/>
        <w:rPr>
          <w:rFonts w:hint="eastAsia" w:ascii="黑体" w:hAnsi="黑体" w:eastAsia="黑体" w:cs="黑体"/>
          <w:color w:val="auto"/>
          <w:kern w:val="22"/>
          <w:sz w:val="32"/>
          <w:szCs w:val="32"/>
          <w:lang w:val="en-US" w:eastAsia="zh-CN"/>
        </w:rPr>
      </w:pPr>
    </w:p>
    <w:p>
      <w:pPr>
        <w:pStyle w:val="8"/>
        <w:widowControl/>
        <w:spacing w:after="0" w:line="560" w:lineRule="exact"/>
        <w:jc w:val="both"/>
        <w:rPr>
          <w:rFonts w:hint="eastAsia" w:ascii="黑体" w:hAnsi="黑体" w:eastAsia="黑体" w:cs="黑体"/>
          <w:color w:val="auto"/>
          <w:kern w:val="22"/>
          <w:sz w:val="32"/>
          <w:szCs w:val="32"/>
          <w:lang w:val="en-US" w:eastAsia="zh-CN"/>
        </w:rPr>
      </w:pPr>
    </w:p>
    <w:p>
      <w:pPr>
        <w:pStyle w:val="8"/>
        <w:widowControl/>
        <w:spacing w:after="0" w:line="560" w:lineRule="exact"/>
        <w:jc w:val="both"/>
        <w:rPr>
          <w:rFonts w:hint="eastAsia" w:ascii="黑体" w:hAnsi="黑体" w:eastAsia="黑体" w:cs="黑体"/>
          <w:color w:val="auto"/>
          <w:kern w:val="22"/>
          <w:sz w:val="32"/>
          <w:szCs w:val="32"/>
          <w:lang w:val="en-US" w:eastAsia="zh-CN"/>
        </w:rPr>
      </w:pPr>
    </w:p>
    <w:p>
      <w:pPr>
        <w:pStyle w:val="8"/>
        <w:widowControl/>
        <w:spacing w:after="0" w:line="560" w:lineRule="exact"/>
        <w:jc w:val="both"/>
        <w:rPr>
          <w:rFonts w:hint="eastAsia" w:ascii="黑体" w:hAnsi="黑体" w:eastAsia="黑体" w:cs="黑体"/>
          <w:color w:val="auto"/>
          <w:kern w:val="22"/>
          <w:sz w:val="32"/>
          <w:szCs w:val="32"/>
          <w:lang w:val="en-US" w:eastAsia="zh-CN"/>
        </w:rPr>
      </w:pPr>
    </w:p>
    <w:p>
      <w:pPr>
        <w:pStyle w:val="8"/>
        <w:widowControl/>
        <w:spacing w:after="0" w:line="560" w:lineRule="exact"/>
        <w:jc w:val="both"/>
        <w:rPr>
          <w:rFonts w:hint="eastAsia" w:ascii="黑体" w:hAnsi="黑体" w:eastAsia="黑体" w:cs="黑体"/>
          <w:color w:val="auto"/>
          <w:kern w:val="22"/>
          <w:sz w:val="32"/>
          <w:szCs w:val="32"/>
          <w:lang w:val="en-US" w:eastAsia="zh-CN"/>
        </w:rPr>
      </w:pPr>
    </w:p>
    <w:p>
      <w:pPr>
        <w:pStyle w:val="8"/>
        <w:widowControl/>
        <w:spacing w:after="0" w:line="560" w:lineRule="exact"/>
        <w:jc w:val="both"/>
        <w:rPr>
          <w:rFonts w:hint="eastAsia" w:ascii="黑体" w:hAnsi="黑体" w:eastAsia="黑体" w:cs="黑体"/>
          <w:color w:val="auto"/>
          <w:kern w:val="22"/>
          <w:sz w:val="32"/>
          <w:szCs w:val="32"/>
          <w:lang w:val="en-US" w:eastAsia="zh-CN"/>
        </w:rPr>
      </w:pPr>
    </w:p>
    <w:p>
      <w:pPr>
        <w:pStyle w:val="8"/>
        <w:widowControl/>
        <w:spacing w:after="0" w:line="560" w:lineRule="exact"/>
        <w:jc w:val="both"/>
        <w:rPr>
          <w:rFonts w:hint="eastAsia" w:ascii="黑体" w:hAnsi="黑体" w:eastAsia="黑体" w:cs="黑体"/>
          <w:color w:val="auto"/>
          <w:kern w:val="22"/>
          <w:sz w:val="32"/>
          <w:szCs w:val="32"/>
          <w:lang w:val="en-US" w:eastAsia="zh-CN"/>
        </w:rPr>
      </w:pPr>
    </w:p>
    <w:p>
      <w:pPr>
        <w:pStyle w:val="8"/>
        <w:widowControl/>
        <w:spacing w:after="0" w:line="560" w:lineRule="exact"/>
        <w:jc w:val="both"/>
        <w:rPr>
          <w:rFonts w:hint="eastAsia" w:ascii="黑体" w:hAnsi="黑体" w:eastAsia="黑体" w:cs="黑体"/>
          <w:color w:val="auto"/>
          <w:kern w:val="22"/>
          <w:sz w:val="32"/>
          <w:szCs w:val="32"/>
          <w:lang w:val="en-US" w:eastAsia="zh-CN"/>
        </w:rPr>
      </w:pPr>
    </w:p>
    <w:p>
      <w:pPr>
        <w:pStyle w:val="8"/>
        <w:widowControl/>
        <w:spacing w:after="0" w:line="560" w:lineRule="exact"/>
        <w:jc w:val="both"/>
        <w:rPr>
          <w:rFonts w:hint="eastAsia" w:ascii="黑体" w:hAnsi="黑体" w:eastAsia="黑体" w:cs="黑体"/>
          <w:color w:val="auto"/>
          <w:kern w:val="22"/>
          <w:sz w:val="32"/>
          <w:szCs w:val="32"/>
          <w:lang w:val="en-US" w:eastAsia="zh-CN"/>
        </w:rPr>
      </w:pPr>
    </w:p>
    <w:p>
      <w:pPr>
        <w:pStyle w:val="8"/>
        <w:widowControl/>
        <w:spacing w:after="0" w:line="560" w:lineRule="exact"/>
        <w:jc w:val="both"/>
        <w:rPr>
          <w:rFonts w:hint="eastAsia" w:ascii="黑体" w:hAnsi="黑体" w:eastAsia="黑体" w:cs="黑体"/>
          <w:color w:val="auto"/>
          <w:kern w:val="22"/>
          <w:sz w:val="32"/>
          <w:szCs w:val="32"/>
          <w:lang w:val="en-US" w:eastAsia="zh-CN"/>
        </w:rPr>
      </w:pPr>
    </w:p>
    <w:p>
      <w:pPr>
        <w:pStyle w:val="8"/>
        <w:widowControl/>
        <w:spacing w:after="0" w:line="560" w:lineRule="exact"/>
        <w:jc w:val="both"/>
        <w:rPr>
          <w:rFonts w:hint="eastAsia" w:ascii="黑体" w:hAnsi="黑体" w:eastAsia="黑体" w:cs="黑体"/>
          <w:color w:val="auto"/>
          <w:kern w:val="2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22"/>
          <w:sz w:val="32"/>
          <w:szCs w:val="32"/>
          <w:lang w:val="en-US" w:eastAsia="zh-CN"/>
        </w:rPr>
        <w:t>附件3</w:t>
      </w:r>
    </w:p>
    <w:p>
      <w:pPr>
        <w:pStyle w:val="8"/>
        <w:widowControl/>
        <w:spacing w:after="0"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2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2"/>
          <w:sz w:val="32"/>
          <w:szCs w:val="32"/>
          <w:lang w:val="en-US" w:eastAsia="zh-CN"/>
        </w:rPr>
        <w:t>高青县住房和城乡建设局</w:t>
      </w:r>
    </w:p>
    <w:p>
      <w:pPr>
        <w:pStyle w:val="8"/>
        <w:widowControl/>
        <w:spacing w:after="0"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2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2"/>
          <w:sz w:val="32"/>
          <w:szCs w:val="32"/>
          <w:lang w:val="en-US" w:eastAsia="zh-CN"/>
        </w:rPr>
        <w:t>2019年政府信息公开工作年度报告解读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2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eastAsia="zh-CN"/>
        </w:rPr>
      </w:pPr>
      <w:r>
        <w:rPr>
          <w:rFonts w:ascii="Times New Roman" w:hAnsi="Times New Roman" w:eastAsia="仿宋_GB2312"/>
          <w:b w:val="0"/>
          <w:bCs/>
          <w:color w:val="auto"/>
          <w:kern w:val="22"/>
          <w:sz w:val="32"/>
          <w:szCs w:val="32"/>
        </w:rPr>
        <w:t>2019年，我局制发规范性文件2件</w:t>
      </w:r>
      <w:r>
        <w:rPr>
          <w:rFonts w:hint="eastAsia" w:ascii="Times New Roman" w:hAnsi="Times New Roman" w:eastAsia="仿宋_GB2312"/>
          <w:b w:val="0"/>
          <w:bCs/>
          <w:color w:val="auto"/>
          <w:kern w:val="22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/>
          <w:b w:val="0"/>
          <w:bCs/>
          <w:color w:val="auto"/>
          <w:kern w:val="22"/>
          <w:sz w:val="32"/>
          <w:szCs w:val="32"/>
        </w:rPr>
        <w:t>行政许可</w:t>
      </w:r>
      <w:r>
        <w:rPr>
          <w:rFonts w:hint="eastAsia" w:ascii="Times New Roman" w:hAnsi="Times New Roman" w:eastAsia="仿宋_GB2312"/>
          <w:b w:val="0"/>
          <w:bCs/>
          <w:color w:val="auto"/>
          <w:kern w:val="22"/>
          <w:sz w:val="32"/>
          <w:szCs w:val="32"/>
          <w:lang w:val="en-US" w:eastAsia="zh-CN"/>
        </w:rPr>
        <w:t>251件</w:t>
      </w:r>
      <w:r>
        <w:rPr>
          <w:rFonts w:hint="eastAsia" w:ascii="Times New Roman" w:hAnsi="Times New Roman" w:eastAsia="仿宋_GB2312"/>
          <w:b w:val="0"/>
          <w:bCs/>
          <w:color w:val="auto"/>
          <w:kern w:val="22"/>
          <w:sz w:val="32"/>
          <w:szCs w:val="32"/>
          <w:lang w:eastAsia="zh-CN"/>
        </w:rPr>
        <w:t>，其他对外管理服务事项</w:t>
      </w:r>
      <w:r>
        <w:rPr>
          <w:rFonts w:hint="eastAsia" w:ascii="Times New Roman" w:hAnsi="Times New Roman" w:eastAsia="仿宋_GB2312"/>
          <w:b w:val="0"/>
          <w:bCs/>
          <w:color w:val="auto"/>
          <w:kern w:val="22"/>
          <w:sz w:val="32"/>
          <w:szCs w:val="32"/>
          <w:lang w:val="en-US" w:eastAsia="zh-CN"/>
        </w:rPr>
        <w:t>1283件，</w:t>
      </w:r>
      <w:r>
        <w:rPr>
          <w:rFonts w:ascii="Times New Roman" w:hAnsi="Times New Roman" w:eastAsia="仿宋_GB2312"/>
          <w:b w:val="0"/>
          <w:bCs/>
          <w:color w:val="auto"/>
          <w:kern w:val="22"/>
          <w:sz w:val="32"/>
          <w:szCs w:val="32"/>
        </w:rPr>
        <w:t>行政处罚</w:t>
      </w:r>
      <w:r>
        <w:rPr>
          <w:rFonts w:hint="eastAsia" w:ascii="Times New Roman" w:hAnsi="Times New Roman" w:eastAsia="仿宋_GB2312"/>
          <w:b w:val="0"/>
          <w:bCs/>
          <w:color w:val="auto"/>
          <w:kern w:val="22"/>
          <w:sz w:val="32"/>
          <w:szCs w:val="32"/>
          <w:lang w:val="en-US" w:eastAsia="zh-CN"/>
        </w:rPr>
        <w:t>1件。</w:t>
      </w:r>
      <w:r>
        <w:rPr>
          <w:rFonts w:hint="default" w:ascii="Times New Roman" w:hAnsi="Times New Roman" w:eastAsia="仿宋_GB2312" w:cs="Times New Roman"/>
          <w:color w:val="auto"/>
          <w:kern w:val="22"/>
          <w:sz w:val="32"/>
          <w:szCs w:val="32"/>
        </w:rPr>
        <w:t>公开承办的县人大代表建议11件</w:t>
      </w:r>
      <w:r>
        <w:rPr>
          <w:rFonts w:hint="eastAsia" w:ascii="Times New Roman" w:hAnsi="Times New Roman" w:eastAsia="仿宋_GB2312" w:cs="Times New Roman"/>
          <w:color w:val="auto"/>
          <w:kern w:val="22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22"/>
          <w:sz w:val="32"/>
          <w:szCs w:val="32"/>
        </w:rPr>
        <w:t>县政协委员提案6件</w:t>
      </w:r>
      <w:r>
        <w:rPr>
          <w:rFonts w:hint="eastAsia" w:ascii="Times New Roman" w:hAnsi="Times New Roman" w:eastAsia="仿宋_GB2312" w:cs="Times New Roman"/>
          <w:color w:val="auto"/>
          <w:kern w:val="22"/>
          <w:sz w:val="32"/>
          <w:szCs w:val="32"/>
          <w:lang w:eastAsia="zh-CN"/>
        </w:rPr>
        <w:t>。</w:t>
      </w:r>
      <w:r>
        <w:rPr>
          <w:rFonts w:ascii="Times New Roman" w:hAnsi="Times New Roman" w:eastAsia="仿宋_GB2312"/>
          <w:color w:val="auto"/>
          <w:kern w:val="22"/>
          <w:sz w:val="32"/>
          <w:szCs w:val="32"/>
        </w:rPr>
        <w:t>收到政府信息公开申请7件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因政府信息公开引起的行政复议1件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eastAsia="zh-CN"/>
        </w:rPr>
        <w:t>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eastAsia="zh-CN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eastAsia" w:ascii="仿宋_GB2312" w:hAnsi="仿宋" w:eastAsia="仿宋_GB2312" w:cs="仿宋"/>
          <w:color w:val="auto"/>
          <w:kern w:val="2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val="en-US" w:eastAsia="zh-CN"/>
        </w:rPr>
        <w:drawing>
          <wp:inline distT="0" distB="0" distL="114300" distR="114300">
            <wp:extent cx="4584065" cy="2755265"/>
            <wp:effectExtent l="0" t="0" r="6985" b="6985"/>
            <wp:docPr id="6" name="图片 6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片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84065" cy="2755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00" w:bottom="1440" w:left="1800" w:header="851" w:footer="130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93070707"/>
                            <w:docPartObj>
                              <w:docPartGallery w:val="autotext"/>
                            </w:docPartObj>
                          </w:sdtPr>
                          <w:sdtContent>
                            <w:p>
                              <w:pPr>
                                <w:pStyle w:val="5"/>
                                <w:jc w:val="center"/>
                              </w:pP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  <w:lang w:val="zh-CN"/>
                                </w:rPr>
                                <w:t>9</w:t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93070707"/>
                      <w:docPartObj>
                        <w:docPartGallery w:val="autotext"/>
                      </w:docPartObj>
                    </w:sdtPr>
                    <w:sdtContent>
                      <w:p>
                        <w:pPr>
                          <w:pStyle w:val="5"/>
                          <w:jc w:val="center"/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  <w:lang w:val="zh-CN"/>
                          </w:rPr>
                          <w:t>9</w: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557"/>
    <w:rsid w:val="00004CF5"/>
    <w:rsid w:val="0000725E"/>
    <w:rsid w:val="00010331"/>
    <w:rsid w:val="00024E42"/>
    <w:rsid w:val="000345B4"/>
    <w:rsid w:val="00035216"/>
    <w:rsid w:val="00051D91"/>
    <w:rsid w:val="00061B07"/>
    <w:rsid w:val="0006501F"/>
    <w:rsid w:val="00065C69"/>
    <w:rsid w:val="000672CE"/>
    <w:rsid w:val="00093F81"/>
    <w:rsid w:val="00094B75"/>
    <w:rsid w:val="000A057B"/>
    <w:rsid w:val="000B000A"/>
    <w:rsid w:val="000C43E2"/>
    <w:rsid w:val="000D1696"/>
    <w:rsid w:val="000D2527"/>
    <w:rsid w:val="000D3D1E"/>
    <w:rsid w:val="000D502C"/>
    <w:rsid w:val="000E3958"/>
    <w:rsid w:val="000F383D"/>
    <w:rsid w:val="000F7B6C"/>
    <w:rsid w:val="00104B97"/>
    <w:rsid w:val="00115736"/>
    <w:rsid w:val="001205A9"/>
    <w:rsid w:val="001215E4"/>
    <w:rsid w:val="001328B3"/>
    <w:rsid w:val="00136EBD"/>
    <w:rsid w:val="0015335B"/>
    <w:rsid w:val="001551B9"/>
    <w:rsid w:val="00156800"/>
    <w:rsid w:val="00156AFE"/>
    <w:rsid w:val="0015752F"/>
    <w:rsid w:val="00164C2C"/>
    <w:rsid w:val="00165287"/>
    <w:rsid w:val="00177AFC"/>
    <w:rsid w:val="00187E46"/>
    <w:rsid w:val="0019292B"/>
    <w:rsid w:val="00192EAC"/>
    <w:rsid w:val="00195276"/>
    <w:rsid w:val="00195C7C"/>
    <w:rsid w:val="001A052A"/>
    <w:rsid w:val="001A4452"/>
    <w:rsid w:val="001B463C"/>
    <w:rsid w:val="001C2DCD"/>
    <w:rsid w:val="001C6CB8"/>
    <w:rsid w:val="001D01BA"/>
    <w:rsid w:val="001E256B"/>
    <w:rsid w:val="001E3D4C"/>
    <w:rsid w:val="001E7B38"/>
    <w:rsid w:val="001F1D4F"/>
    <w:rsid w:val="001F3CA4"/>
    <w:rsid w:val="001F3D15"/>
    <w:rsid w:val="001F53D4"/>
    <w:rsid w:val="00203EC3"/>
    <w:rsid w:val="00213531"/>
    <w:rsid w:val="00213CFE"/>
    <w:rsid w:val="00216B90"/>
    <w:rsid w:val="00221CC4"/>
    <w:rsid w:val="00227902"/>
    <w:rsid w:val="00234602"/>
    <w:rsid w:val="00244E3E"/>
    <w:rsid w:val="00263708"/>
    <w:rsid w:val="00263B33"/>
    <w:rsid w:val="002834ED"/>
    <w:rsid w:val="00286C8A"/>
    <w:rsid w:val="002A647C"/>
    <w:rsid w:val="002B625C"/>
    <w:rsid w:val="002C58DB"/>
    <w:rsid w:val="002D6EBB"/>
    <w:rsid w:val="002D74A7"/>
    <w:rsid w:val="002D7DB8"/>
    <w:rsid w:val="002E5D54"/>
    <w:rsid w:val="002F23E9"/>
    <w:rsid w:val="0030230A"/>
    <w:rsid w:val="0031159C"/>
    <w:rsid w:val="00326584"/>
    <w:rsid w:val="0033231B"/>
    <w:rsid w:val="003441BE"/>
    <w:rsid w:val="00346C4D"/>
    <w:rsid w:val="00361762"/>
    <w:rsid w:val="00363DDF"/>
    <w:rsid w:val="00370E69"/>
    <w:rsid w:val="00375878"/>
    <w:rsid w:val="00380933"/>
    <w:rsid w:val="0039205B"/>
    <w:rsid w:val="003938A3"/>
    <w:rsid w:val="003A230F"/>
    <w:rsid w:val="003A3153"/>
    <w:rsid w:val="003A473F"/>
    <w:rsid w:val="003A57D1"/>
    <w:rsid w:val="003B4B73"/>
    <w:rsid w:val="003C27DE"/>
    <w:rsid w:val="003C3846"/>
    <w:rsid w:val="003E2D20"/>
    <w:rsid w:val="003F52B2"/>
    <w:rsid w:val="003F6FE9"/>
    <w:rsid w:val="00406346"/>
    <w:rsid w:val="004076B3"/>
    <w:rsid w:val="004109E8"/>
    <w:rsid w:val="00410A4A"/>
    <w:rsid w:val="0041443C"/>
    <w:rsid w:val="004155DE"/>
    <w:rsid w:val="004278E8"/>
    <w:rsid w:val="00436EA0"/>
    <w:rsid w:val="004373DC"/>
    <w:rsid w:val="004449B9"/>
    <w:rsid w:val="004479E3"/>
    <w:rsid w:val="00450790"/>
    <w:rsid w:val="004518C4"/>
    <w:rsid w:val="0045219A"/>
    <w:rsid w:val="0045733C"/>
    <w:rsid w:val="00462BD1"/>
    <w:rsid w:val="00464149"/>
    <w:rsid w:val="00470E57"/>
    <w:rsid w:val="00473B69"/>
    <w:rsid w:val="0048058E"/>
    <w:rsid w:val="0048124A"/>
    <w:rsid w:val="00481D4A"/>
    <w:rsid w:val="004A2D10"/>
    <w:rsid w:val="004C0559"/>
    <w:rsid w:val="004D3C26"/>
    <w:rsid w:val="004D460A"/>
    <w:rsid w:val="004D50F5"/>
    <w:rsid w:val="004E0762"/>
    <w:rsid w:val="004E1E7F"/>
    <w:rsid w:val="004E30D9"/>
    <w:rsid w:val="004F0C56"/>
    <w:rsid w:val="004F62DB"/>
    <w:rsid w:val="004F721C"/>
    <w:rsid w:val="00505A1E"/>
    <w:rsid w:val="005064BA"/>
    <w:rsid w:val="00513D53"/>
    <w:rsid w:val="00514EF2"/>
    <w:rsid w:val="0051560E"/>
    <w:rsid w:val="005171BD"/>
    <w:rsid w:val="00530324"/>
    <w:rsid w:val="005354E1"/>
    <w:rsid w:val="005405CC"/>
    <w:rsid w:val="005419F2"/>
    <w:rsid w:val="00546499"/>
    <w:rsid w:val="0054791A"/>
    <w:rsid w:val="00555BD0"/>
    <w:rsid w:val="0058712D"/>
    <w:rsid w:val="00592243"/>
    <w:rsid w:val="005930D6"/>
    <w:rsid w:val="005B51C5"/>
    <w:rsid w:val="005B76E3"/>
    <w:rsid w:val="005C1AEC"/>
    <w:rsid w:val="005C79C4"/>
    <w:rsid w:val="005F2577"/>
    <w:rsid w:val="005F3E26"/>
    <w:rsid w:val="00605185"/>
    <w:rsid w:val="0062262B"/>
    <w:rsid w:val="00622752"/>
    <w:rsid w:val="006373B2"/>
    <w:rsid w:val="00637DD1"/>
    <w:rsid w:val="00637F0D"/>
    <w:rsid w:val="006457E7"/>
    <w:rsid w:val="00650011"/>
    <w:rsid w:val="00653E08"/>
    <w:rsid w:val="006642C7"/>
    <w:rsid w:val="0066520B"/>
    <w:rsid w:val="00673AB3"/>
    <w:rsid w:val="006854F7"/>
    <w:rsid w:val="006933BA"/>
    <w:rsid w:val="006B416F"/>
    <w:rsid w:val="006B7628"/>
    <w:rsid w:val="006C119E"/>
    <w:rsid w:val="006C3A06"/>
    <w:rsid w:val="006D763F"/>
    <w:rsid w:val="006E0DFF"/>
    <w:rsid w:val="006F1821"/>
    <w:rsid w:val="006F1CA4"/>
    <w:rsid w:val="006F1D2B"/>
    <w:rsid w:val="006F770B"/>
    <w:rsid w:val="00712FC4"/>
    <w:rsid w:val="0071441F"/>
    <w:rsid w:val="00732FAD"/>
    <w:rsid w:val="0073505F"/>
    <w:rsid w:val="0073526E"/>
    <w:rsid w:val="007522A8"/>
    <w:rsid w:val="0075482D"/>
    <w:rsid w:val="00760D74"/>
    <w:rsid w:val="00761DD7"/>
    <w:rsid w:val="00762FB6"/>
    <w:rsid w:val="00766CAF"/>
    <w:rsid w:val="00773F1C"/>
    <w:rsid w:val="00776A6F"/>
    <w:rsid w:val="007A2408"/>
    <w:rsid w:val="007C3766"/>
    <w:rsid w:val="007D53E3"/>
    <w:rsid w:val="007D5E52"/>
    <w:rsid w:val="007E10E9"/>
    <w:rsid w:val="007F701A"/>
    <w:rsid w:val="008031F8"/>
    <w:rsid w:val="00806C7A"/>
    <w:rsid w:val="008074D5"/>
    <w:rsid w:val="00807FE9"/>
    <w:rsid w:val="008224B6"/>
    <w:rsid w:val="008226FB"/>
    <w:rsid w:val="00826BE4"/>
    <w:rsid w:val="00831B01"/>
    <w:rsid w:val="00841764"/>
    <w:rsid w:val="00843B00"/>
    <w:rsid w:val="00845A36"/>
    <w:rsid w:val="00850679"/>
    <w:rsid w:val="008560C3"/>
    <w:rsid w:val="00890E5B"/>
    <w:rsid w:val="008A1F1B"/>
    <w:rsid w:val="008A69B9"/>
    <w:rsid w:val="008A7057"/>
    <w:rsid w:val="008B1273"/>
    <w:rsid w:val="008C3881"/>
    <w:rsid w:val="008C7119"/>
    <w:rsid w:val="008D04B4"/>
    <w:rsid w:val="008D26C7"/>
    <w:rsid w:val="008D492B"/>
    <w:rsid w:val="008D51E4"/>
    <w:rsid w:val="008D6E8E"/>
    <w:rsid w:val="008E74CC"/>
    <w:rsid w:val="008E7927"/>
    <w:rsid w:val="008F15A5"/>
    <w:rsid w:val="008F7A5A"/>
    <w:rsid w:val="00904CA4"/>
    <w:rsid w:val="009102B2"/>
    <w:rsid w:val="0091387B"/>
    <w:rsid w:val="009160F6"/>
    <w:rsid w:val="009231FA"/>
    <w:rsid w:val="009413F6"/>
    <w:rsid w:val="009573F0"/>
    <w:rsid w:val="00961F0F"/>
    <w:rsid w:val="00973EB1"/>
    <w:rsid w:val="00976755"/>
    <w:rsid w:val="00981209"/>
    <w:rsid w:val="00996BFB"/>
    <w:rsid w:val="00997735"/>
    <w:rsid w:val="009A72A5"/>
    <w:rsid w:val="009B314C"/>
    <w:rsid w:val="009B6A99"/>
    <w:rsid w:val="009C1854"/>
    <w:rsid w:val="009C7FFB"/>
    <w:rsid w:val="009D23D6"/>
    <w:rsid w:val="009D399F"/>
    <w:rsid w:val="009D4EF4"/>
    <w:rsid w:val="009E6762"/>
    <w:rsid w:val="009F78F1"/>
    <w:rsid w:val="009F7AC8"/>
    <w:rsid w:val="00A00FA5"/>
    <w:rsid w:val="00A17F65"/>
    <w:rsid w:val="00A254D8"/>
    <w:rsid w:val="00A313A7"/>
    <w:rsid w:val="00A43397"/>
    <w:rsid w:val="00A4468D"/>
    <w:rsid w:val="00A77CA1"/>
    <w:rsid w:val="00A81B6C"/>
    <w:rsid w:val="00A9180A"/>
    <w:rsid w:val="00AA1919"/>
    <w:rsid w:val="00AA2CFC"/>
    <w:rsid w:val="00AB176E"/>
    <w:rsid w:val="00AB4557"/>
    <w:rsid w:val="00AE0624"/>
    <w:rsid w:val="00AE06D9"/>
    <w:rsid w:val="00AE4342"/>
    <w:rsid w:val="00AF0A0B"/>
    <w:rsid w:val="00AF6913"/>
    <w:rsid w:val="00B03267"/>
    <w:rsid w:val="00B11FB3"/>
    <w:rsid w:val="00B20805"/>
    <w:rsid w:val="00B23B66"/>
    <w:rsid w:val="00B25577"/>
    <w:rsid w:val="00B400F3"/>
    <w:rsid w:val="00B4577F"/>
    <w:rsid w:val="00B52341"/>
    <w:rsid w:val="00B53A4F"/>
    <w:rsid w:val="00B65017"/>
    <w:rsid w:val="00B731B9"/>
    <w:rsid w:val="00B76FE3"/>
    <w:rsid w:val="00BA1897"/>
    <w:rsid w:val="00BA3E56"/>
    <w:rsid w:val="00BB08FE"/>
    <w:rsid w:val="00BD2243"/>
    <w:rsid w:val="00BD7155"/>
    <w:rsid w:val="00BE00D7"/>
    <w:rsid w:val="00BE0203"/>
    <w:rsid w:val="00BE509B"/>
    <w:rsid w:val="00BE618C"/>
    <w:rsid w:val="00BE6B75"/>
    <w:rsid w:val="00C00A2D"/>
    <w:rsid w:val="00C02A79"/>
    <w:rsid w:val="00C048E7"/>
    <w:rsid w:val="00C0791E"/>
    <w:rsid w:val="00C2096B"/>
    <w:rsid w:val="00C24168"/>
    <w:rsid w:val="00C27137"/>
    <w:rsid w:val="00C32825"/>
    <w:rsid w:val="00C34FCB"/>
    <w:rsid w:val="00C35E2F"/>
    <w:rsid w:val="00C45260"/>
    <w:rsid w:val="00C6017A"/>
    <w:rsid w:val="00C727B3"/>
    <w:rsid w:val="00C76D2E"/>
    <w:rsid w:val="00C81116"/>
    <w:rsid w:val="00C91587"/>
    <w:rsid w:val="00C95677"/>
    <w:rsid w:val="00CA1054"/>
    <w:rsid w:val="00CA1A71"/>
    <w:rsid w:val="00CA1FCF"/>
    <w:rsid w:val="00CA3057"/>
    <w:rsid w:val="00CB1438"/>
    <w:rsid w:val="00CB2E2A"/>
    <w:rsid w:val="00CB7F25"/>
    <w:rsid w:val="00CC1793"/>
    <w:rsid w:val="00CC518B"/>
    <w:rsid w:val="00CE03CA"/>
    <w:rsid w:val="00CE2166"/>
    <w:rsid w:val="00D017A8"/>
    <w:rsid w:val="00D22310"/>
    <w:rsid w:val="00D23448"/>
    <w:rsid w:val="00D24292"/>
    <w:rsid w:val="00D33970"/>
    <w:rsid w:val="00D40D23"/>
    <w:rsid w:val="00D45D0C"/>
    <w:rsid w:val="00D54B8B"/>
    <w:rsid w:val="00D62C9A"/>
    <w:rsid w:val="00D6313B"/>
    <w:rsid w:val="00D63AE0"/>
    <w:rsid w:val="00D744EE"/>
    <w:rsid w:val="00D75309"/>
    <w:rsid w:val="00D75948"/>
    <w:rsid w:val="00D77BF0"/>
    <w:rsid w:val="00DA48B9"/>
    <w:rsid w:val="00DB58B6"/>
    <w:rsid w:val="00DC10F2"/>
    <w:rsid w:val="00DC7B85"/>
    <w:rsid w:val="00DD059C"/>
    <w:rsid w:val="00DD3FEE"/>
    <w:rsid w:val="00DD499D"/>
    <w:rsid w:val="00DE1483"/>
    <w:rsid w:val="00DE5064"/>
    <w:rsid w:val="00DE7F16"/>
    <w:rsid w:val="00DF2952"/>
    <w:rsid w:val="00DF3350"/>
    <w:rsid w:val="00E00C8D"/>
    <w:rsid w:val="00E06EF1"/>
    <w:rsid w:val="00E12972"/>
    <w:rsid w:val="00E151D4"/>
    <w:rsid w:val="00E21966"/>
    <w:rsid w:val="00E322B9"/>
    <w:rsid w:val="00E43625"/>
    <w:rsid w:val="00E5216B"/>
    <w:rsid w:val="00E653F7"/>
    <w:rsid w:val="00E66665"/>
    <w:rsid w:val="00E66F54"/>
    <w:rsid w:val="00EA387C"/>
    <w:rsid w:val="00EB5170"/>
    <w:rsid w:val="00EC0864"/>
    <w:rsid w:val="00ED48D7"/>
    <w:rsid w:val="00ED6409"/>
    <w:rsid w:val="00EE2917"/>
    <w:rsid w:val="00EE6BCA"/>
    <w:rsid w:val="00EE7323"/>
    <w:rsid w:val="00EE7AD5"/>
    <w:rsid w:val="00F151FB"/>
    <w:rsid w:val="00F2143F"/>
    <w:rsid w:val="00F26C6E"/>
    <w:rsid w:val="00F40E98"/>
    <w:rsid w:val="00F43D52"/>
    <w:rsid w:val="00F462FC"/>
    <w:rsid w:val="00F537A3"/>
    <w:rsid w:val="00F65EEC"/>
    <w:rsid w:val="00F75B1D"/>
    <w:rsid w:val="00F84453"/>
    <w:rsid w:val="00F939D0"/>
    <w:rsid w:val="00FA50B3"/>
    <w:rsid w:val="00FB073B"/>
    <w:rsid w:val="00FB5EF6"/>
    <w:rsid w:val="00FC101F"/>
    <w:rsid w:val="00FC2F58"/>
    <w:rsid w:val="00FC4EF6"/>
    <w:rsid w:val="00FC53FA"/>
    <w:rsid w:val="00FD2FA1"/>
    <w:rsid w:val="00FD4423"/>
    <w:rsid w:val="00FD4664"/>
    <w:rsid w:val="00FD78B7"/>
    <w:rsid w:val="00FE0A2A"/>
    <w:rsid w:val="00FE0F1E"/>
    <w:rsid w:val="00FE729E"/>
    <w:rsid w:val="00FF041C"/>
    <w:rsid w:val="0C4F5079"/>
    <w:rsid w:val="0D966E75"/>
    <w:rsid w:val="10F07E3E"/>
    <w:rsid w:val="114770F5"/>
    <w:rsid w:val="11F31D20"/>
    <w:rsid w:val="13B245F1"/>
    <w:rsid w:val="15E611CD"/>
    <w:rsid w:val="169810C2"/>
    <w:rsid w:val="19383F7F"/>
    <w:rsid w:val="1BBF1286"/>
    <w:rsid w:val="1DAF2CB8"/>
    <w:rsid w:val="1DCE38FF"/>
    <w:rsid w:val="20437BF5"/>
    <w:rsid w:val="220B62FE"/>
    <w:rsid w:val="22D138F1"/>
    <w:rsid w:val="23E13007"/>
    <w:rsid w:val="248A7EE0"/>
    <w:rsid w:val="24BC457A"/>
    <w:rsid w:val="25B54FFC"/>
    <w:rsid w:val="265F359C"/>
    <w:rsid w:val="28A1723C"/>
    <w:rsid w:val="2ADF4C38"/>
    <w:rsid w:val="2B871EB7"/>
    <w:rsid w:val="2B92597E"/>
    <w:rsid w:val="2B9A7552"/>
    <w:rsid w:val="2BAA1DF3"/>
    <w:rsid w:val="2DD545A9"/>
    <w:rsid w:val="2F2C7D7B"/>
    <w:rsid w:val="311F6F3B"/>
    <w:rsid w:val="34C347D4"/>
    <w:rsid w:val="36333168"/>
    <w:rsid w:val="363F71CB"/>
    <w:rsid w:val="36461EEA"/>
    <w:rsid w:val="36A5609A"/>
    <w:rsid w:val="370D2A74"/>
    <w:rsid w:val="397B5074"/>
    <w:rsid w:val="3A730DC6"/>
    <w:rsid w:val="3CA12CEB"/>
    <w:rsid w:val="415F6137"/>
    <w:rsid w:val="43225F4A"/>
    <w:rsid w:val="43B97B53"/>
    <w:rsid w:val="451F04E4"/>
    <w:rsid w:val="46727E5F"/>
    <w:rsid w:val="49117C6A"/>
    <w:rsid w:val="49E65A06"/>
    <w:rsid w:val="4B185E36"/>
    <w:rsid w:val="4B2871A8"/>
    <w:rsid w:val="4BE464D4"/>
    <w:rsid w:val="4F6F1795"/>
    <w:rsid w:val="4FA86A4B"/>
    <w:rsid w:val="510A4632"/>
    <w:rsid w:val="517F4EE4"/>
    <w:rsid w:val="51E71174"/>
    <w:rsid w:val="52111B0D"/>
    <w:rsid w:val="5D8710EA"/>
    <w:rsid w:val="5E827E9A"/>
    <w:rsid w:val="5F1645CF"/>
    <w:rsid w:val="5F250A96"/>
    <w:rsid w:val="60233FBE"/>
    <w:rsid w:val="60D12199"/>
    <w:rsid w:val="615A651C"/>
    <w:rsid w:val="61E01AA3"/>
    <w:rsid w:val="62011B46"/>
    <w:rsid w:val="62535597"/>
    <w:rsid w:val="627B35D7"/>
    <w:rsid w:val="63F07C55"/>
    <w:rsid w:val="640C64EB"/>
    <w:rsid w:val="67C30F36"/>
    <w:rsid w:val="6AF000C6"/>
    <w:rsid w:val="6BEC681A"/>
    <w:rsid w:val="6D9A4E76"/>
    <w:rsid w:val="6DCA23FD"/>
    <w:rsid w:val="6DF20E04"/>
    <w:rsid w:val="703F5444"/>
    <w:rsid w:val="71D04F08"/>
    <w:rsid w:val="74BE1640"/>
    <w:rsid w:val="75412BDF"/>
    <w:rsid w:val="758103DE"/>
    <w:rsid w:val="7971046F"/>
    <w:rsid w:val="7E6C74BE"/>
    <w:rsid w:val="7E7B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6"/>
    <w:qFormat/>
    <w:uiPriority w:val="99"/>
    <w:pPr>
      <w:keepNext/>
      <w:keepLines/>
      <w:spacing w:before="260" w:after="260" w:line="416" w:lineRule="auto"/>
      <w:outlineLvl w:val="2"/>
    </w:pPr>
    <w:rPr>
      <w:rFonts w:ascii="??" w:hAnsi="??" w:cs="??"/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0"/>
    <w:qFormat/>
    <w:uiPriority w:val="0"/>
    <w:pPr>
      <w:spacing w:after="120"/>
    </w:pPr>
    <w:rPr>
      <w:rFonts w:ascii="Times New Roman" w:hAnsi="Times New Roman" w:eastAsia="仿宋_GB2312" w:cs="仿宋_GB2312"/>
      <w:bCs/>
      <w:sz w:val="32"/>
      <w:szCs w:val="32"/>
    </w:r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footnote text"/>
    <w:basedOn w:val="1"/>
    <w:link w:val="19"/>
    <w:qFormat/>
    <w:uiPriority w:val="99"/>
    <w:pPr>
      <w:snapToGrid w:val="0"/>
      <w:jc w:val="left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after="150"/>
      <w:jc w:val="left"/>
    </w:pPr>
    <w:rPr>
      <w:kern w:val="0"/>
      <w:sz w:val="24"/>
    </w:rPr>
  </w:style>
  <w:style w:type="table" w:styleId="10">
    <w:name w:val="Table Grid"/>
    <w:basedOn w:val="9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FollowedHyperlink"/>
    <w:basedOn w:val="11"/>
    <w:semiHidden/>
    <w:unhideWhenUsed/>
    <w:qFormat/>
    <w:uiPriority w:val="99"/>
    <w:rPr>
      <w:color w:val="555555"/>
      <w:u w:val="none"/>
    </w:rPr>
  </w:style>
  <w:style w:type="character" w:styleId="13">
    <w:name w:val="Hyperlink"/>
    <w:basedOn w:val="11"/>
    <w:semiHidden/>
    <w:unhideWhenUsed/>
    <w:qFormat/>
    <w:uiPriority w:val="99"/>
    <w:rPr>
      <w:color w:val="555555"/>
      <w:u w:val="none"/>
    </w:rPr>
  </w:style>
  <w:style w:type="character" w:customStyle="1" w:styleId="14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6">
    <w:name w:val="标题 3 Char"/>
    <w:basedOn w:val="11"/>
    <w:link w:val="2"/>
    <w:qFormat/>
    <w:uiPriority w:val="99"/>
    <w:rPr>
      <w:rFonts w:ascii="??" w:hAnsi="??" w:eastAsia="宋体" w:cs="??"/>
      <w:b/>
      <w:bCs/>
      <w:sz w:val="32"/>
      <w:szCs w:val="32"/>
    </w:rPr>
  </w:style>
  <w:style w:type="paragraph" w:customStyle="1" w:styleId="17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customStyle="1" w:styleId="18">
    <w:name w:val="批注框文本 Char"/>
    <w:basedOn w:val="11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9">
    <w:name w:val="脚注文本 Char"/>
    <w:basedOn w:val="11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0">
    <w:name w:val="正文文本 Char"/>
    <w:basedOn w:val="11"/>
    <w:link w:val="3"/>
    <w:qFormat/>
    <w:uiPriority w:val="0"/>
    <w:rPr>
      <w:rFonts w:ascii="Times New Roman" w:hAnsi="Times New Roman" w:eastAsia="仿宋_GB2312" w:cs="仿宋_GB2312"/>
      <w:bCs/>
      <w:sz w:val="32"/>
      <w:szCs w:val="32"/>
    </w:rPr>
  </w:style>
  <w:style w:type="character" w:customStyle="1" w:styleId="21">
    <w:name w:val="icon5"/>
    <w:basedOn w:val="11"/>
    <w:qFormat/>
    <w:uiPriority w:val="0"/>
  </w:style>
  <w:style w:type="character" w:customStyle="1" w:styleId="22">
    <w:name w:val="icon7"/>
    <w:basedOn w:val="11"/>
    <w:qFormat/>
    <w:uiPriority w:val="0"/>
  </w:style>
  <w:style w:type="character" w:customStyle="1" w:styleId="23">
    <w:name w:val="icon6"/>
    <w:basedOn w:val="11"/>
    <w:qFormat/>
    <w:uiPriority w:val="0"/>
  </w:style>
  <w:style w:type="character" w:customStyle="1" w:styleId="24">
    <w:name w:val="sl"/>
    <w:basedOn w:val="11"/>
    <w:qFormat/>
    <w:uiPriority w:val="0"/>
    <w:rPr>
      <w:sz w:val="21"/>
      <w:szCs w:val="21"/>
    </w:rPr>
  </w:style>
  <w:style w:type="character" w:customStyle="1" w:styleId="25">
    <w:name w:val="icon8"/>
    <w:basedOn w:val="11"/>
    <w:qFormat/>
    <w:uiPriority w:val="0"/>
  </w:style>
  <w:style w:type="character" w:customStyle="1" w:styleId="26">
    <w:name w:val="on2"/>
    <w:basedOn w:val="11"/>
    <w:qFormat/>
    <w:uiPriority w:val="0"/>
    <w:rPr>
      <w:b/>
      <w:color w:val="D10200"/>
      <w:shd w:val="clear" w:fill="F2F2F2"/>
    </w:rPr>
  </w:style>
  <w:style w:type="character" w:customStyle="1" w:styleId="27">
    <w:name w:val="fy_go"/>
    <w:basedOn w:val="11"/>
    <w:uiPriority w:val="0"/>
    <w:rPr>
      <w:color w:val="FFFFFF"/>
      <w:sz w:val="21"/>
      <w:szCs w:val="21"/>
      <w:shd w:val="clear" w:fill="D10200"/>
    </w:rPr>
  </w:style>
  <w:style w:type="character" w:customStyle="1" w:styleId="28">
    <w:name w:val="icon1"/>
    <w:basedOn w:val="11"/>
    <w:qFormat/>
    <w:uiPriority w:val="0"/>
  </w:style>
  <w:style w:type="character" w:customStyle="1" w:styleId="29">
    <w:name w:val="icon3"/>
    <w:basedOn w:val="11"/>
    <w:qFormat/>
    <w:uiPriority w:val="0"/>
  </w:style>
  <w:style w:type="character" w:customStyle="1" w:styleId="30">
    <w:name w:val="icon2"/>
    <w:basedOn w:val="11"/>
    <w:qFormat/>
    <w:uiPriority w:val="0"/>
  </w:style>
  <w:style w:type="character" w:customStyle="1" w:styleId="31">
    <w:name w:val="icon4"/>
    <w:basedOn w:val="11"/>
    <w:qFormat/>
    <w:uiPriority w:val="0"/>
  </w:style>
  <w:style w:type="character" w:customStyle="1" w:styleId="32">
    <w:name w:val="line"/>
    <w:basedOn w:val="11"/>
    <w:qFormat/>
    <w:uiPriority w:val="0"/>
  </w:style>
  <w:style w:type="character" w:customStyle="1" w:styleId="33">
    <w:name w:val="line1"/>
    <w:basedOn w:val="11"/>
    <w:qFormat/>
    <w:uiPriority w:val="0"/>
  </w:style>
  <w:style w:type="character" w:customStyle="1" w:styleId="34">
    <w:name w:val="on1"/>
    <w:basedOn w:val="11"/>
    <w:qFormat/>
    <w:uiPriority w:val="0"/>
    <w:rPr>
      <w:b/>
      <w:color w:val="D10200"/>
      <w:shd w:val="clear" w:fill="F2F2F2"/>
    </w:rPr>
  </w:style>
  <w:style w:type="character" w:customStyle="1" w:styleId="35">
    <w:name w:val="on"/>
    <w:basedOn w:val="11"/>
    <w:qFormat/>
    <w:uiPriority w:val="0"/>
    <w:rPr>
      <w:b/>
      <w:color w:val="D10200"/>
      <w:shd w:val="clear" w:fill="F2F2F2"/>
    </w:rPr>
  </w:style>
  <w:style w:type="character" w:customStyle="1" w:styleId="36">
    <w:name w:val="line2"/>
    <w:basedOn w:val="11"/>
    <w:qFormat/>
    <w:uiPriority w:val="0"/>
  </w:style>
  <w:style w:type="character" w:customStyle="1" w:styleId="37">
    <w:name w:val="line3"/>
    <w:basedOn w:val="11"/>
    <w:qFormat/>
    <w:uiPriority w:val="0"/>
  </w:style>
  <w:style w:type="character" w:customStyle="1" w:styleId="38">
    <w:name w:val="disabled"/>
    <w:basedOn w:val="11"/>
    <w:qFormat/>
    <w:uiPriority w:val="0"/>
    <w:rPr>
      <w:vanish/>
    </w:rPr>
  </w:style>
  <w:style w:type="character" w:customStyle="1" w:styleId="39">
    <w:name w:val="more"/>
    <w:basedOn w:val="11"/>
    <w:qFormat/>
    <w:uiPriority w:val="0"/>
    <w:rPr>
      <w:sz w:val="60"/>
      <w:szCs w:val="60"/>
    </w:rPr>
  </w:style>
  <w:style w:type="character" w:customStyle="1" w:styleId="40">
    <w:name w:val="current"/>
    <w:basedOn w:val="11"/>
    <w:qFormat/>
    <w:uiPriority w:val="0"/>
    <w:rPr>
      <w:color w:val="FFFFFF"/>
      <w:shd w:val="clear" w:fill="2D66A5"/>
    </w:rPr>
  </w:style>
  <w:style w:type="character" w:customStyle="1" w:styleId="41">
    <w:name w:val="last-child"/>
    <w:basedOn w:val="11"/>
    <w:qFormat/>
    <w:uiPriority w:val="0"/>
  </w:style>
  <w:style w:type="character" w:customStyle="1" w:styleId="42">
    <w:name w:val="more2"/>
    <w:basedOn w:val="11"/>
    <w:qFormat/>
    <w:uiPriority w:val="0"/>
    <w:rPr>
      <w:sz w:val="60"/>
      <w:szCs w:val="6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E18B3B-50AB-4932-8CD6-37496189E8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gq</Company>
  <Pages>9</Pages>
  <Words>544</Words>
  <Characters>3106</Characters>
  <Lines>25</Lines>
  <Paragraphs>7</Paragraphs>
  <TotalTime>0</TotalTime>
  <ScaleCrop>false</ScaleCrop>
  <LinksUpToDate>false</LinksUpToDate>
  <CharactersWithSpaces>3643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2019-10-14T08:08:00Z</dcterms:created>
  <dc:creator>lb</dc:creator>
  <cp:lastModifiedBy>Administrator</cp:lastModifiedBy>
  <cp:lastPrinted>2020-06-05T08:04:00Z</cp:lastPrinted>
  <dcterms:modified xsi:type="dcterms:W3CDTF">2021-05-25T02:05:25Z</dcterms:modified>
  <cp:revision>330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313BE0744E48414C8C51D4F15DD19C46</vt:lpwstr>
  </property>
</Properties>
</file>