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0"/>
        <w:jc w:val="center"/>
        <w:rPr>
          <w:rFonts w:eastAsia="方正小标宋简体"/>
          <w:bCs/>
          <w:sz w:val="44"/>
          <w:szCs w:val="44"/>
        </w:rPr>
      </w:pPr>
      <w:r>
        <w:rPr>
          <w:rFonts w:eastAsia="方正小标宋简体"/>
          <w:bCs/>
          <w:sz w:val="44"/>
          <w:szCs w:val="44"/>
        </w:rPr>
        <w:t>高青县住房和城乡建设局</w:t>
      </w:r>
    </w:p>
    <w:p>
      <w:pPr>
        <w:spacing w:line="600" w:lineRule="exact"/>
        <w:ind w:firstLine="0"/>
        <w:jc w:val="center"/>
        <w:rPr>
          <w:rFonts w:eastAsia="仿宋_GB2312"/>
        </w:rPr>
      </w:pPr>
      <w:r>
        <w:rPr>
          <w:rFonts w:eastAsia="方正小标宋简体"/>
          <w:bCs/>
          <w:sz w:val="44"/>
          <w:szCs w:val="44"/>
        </w:rPr>
        <w:t>2021年政府信息公开工作年度报告</w:t>
      </w:r>
    </w:p>
    <w:p>
      <w:pPr>
        <w:spacing w:line="600" w:lineRule="exact"/>
        <w:ind w:firstLine="640" w:firstLineChars="200"/>
        <w:rPr>
          <w:rFonts w:eastAsia="仿宋_GB2312"/>
        </w:rPr>
      </w:pPr>
    </w:p>
    <w:p>
      <w:pPr>
        <w:spacing w:line="560" w:lineRule="exact"/>
        <w:ind w:firstLine="640" w:firstLineChars="200"/>
        <w:rPr>
          <w:rFonts w:eastAsia="仿宋_GB2312"/>
        </w:rPr>
      </w:pPr>
      <w:r>
        <w:rPr>
          <w:rFonts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eastAsia="仿宋_GB2312"/>
        </w:rPr>
      </w:pPr>
      <w:r>
        <w:rPr>
          <w:rFonts w:eastAsia="仿宋_GB2312"/>
        </w:rPr>
        <w:t>报告中所列数据统计期限自2021年1月1日始，至2021年12月31日止。报告电子版可在高青县人民政府门户网站（www.gaoqing.gov.cn）查阅和下载。如对报告内容有疑问，请与高青县住房和城乡建设局办公室联系（地址：山东省淄博市高青县高苑路30号；邮编256300；电话：0533-6962070；传真：0533-6950553）。</w:t>
      </w:r>
    </w:p>
    <w:p>
      <w:pPr>
        <w:spacing w:line="560" w:lineRule="exact"/>
        <w:ind w:firstLine="640" w:firstLineChars="200"/>
        <w:rPr>
          <w:rFonts w:eastAsia="黑体"/>
          <w:szCs w:val="32"/>
        </w:rPr>
      </w:pPr>
      <w:r>
        <w:rPr>
          <w:rFonts w:eastAsia="黑体"/>
          <w:szCs w:val="32"/>
        </w:rPr>
        <w:t>一、总体情况</w:t>
      </w:r>
    </w:p>
    <w:p>
      <w:pPr>
        <w:spacing w:line="560" w:lineRule="exact"/>
        <w:jc w:val="left"/>
        <w:rPr>
          <w:rFonts w:eastAsia="楷体_GB2312"/>
        </w:rPr>
      </w:pPr>
      <w:r>
        <w:rPr>
          <w:rFonts w:eastAsia="楷体_GB2312"/>
        </w:rPr>
        <w:t>（一）主动公开</w:t>
      </w:r>
    </w:p>
    <w:p>
      <w:pPr>
        <w:pStyle w:val="6"/>
        <w:widowControl/>
        <w:spacing w:after="0" w:line="560" w:lineRule="exact"/>
        <w:ind w:firstLine="640" w:firstLineChars="200"/>
        <w:jc w:val="both"/>
        <w:rPr>
          <w:rFonts w:eastAsia="仿宋_GB2312"/>
          <w:kern w:val="22"/>
          <w:sz w:val="32"/>
          <w:szCs w:val="32"/>
        </w:rPr>
      </w:pPr>
      <w:r>
        <w:rPr>
          <w:rFonts w:eastAsia="仿宋_GB2312"/>
          <w:kern w:val="22"/>
          <w:sz w:val="32"/>
          <w:szCs w:val="32"/>
        </w:rPr>
        <w:t>按照“谁主管、谁负责”的原则，探索建立政务公开工作责任制、</w:t>
      </w:r>
      <w:r>
        <w:rPr>
          <w:rFonts w:hint="eastAsia" w:eastAsia="仿宋_GB2312"/>
          <w:kern w:val="22"/>
          <w:sz w:val="32"/>
          <w:szCs w:val="32"/>
        </w:rPr>
        <w:t>政府</w:t>
      </w:r>
      <w:r>
        <w:rPr>
          <w:rFonts w:eastAsia="仿宋_GB2312"/>
          <w:kern w:val="22"/>
          <w:sz w:val="32"/>
          <w:szCs w:val="32"/>
        </w:rPr>
        <w:t>信息审核发布、政务公开工作协调等制度，加强政务公开工作管理，推进政务公开工作更加高效、更加规范。2021年度主动公开政策文件、财政预决算信息、重点部署行动、重大决策事项、行政执法事前事后信息、双随机一公开信息、重大项目信息等信息共计</w:t>
      </w:r>
      <w:r>
        <w:rPr>
          <w:rFonts w:hint="eastAsia" w:eastAsia="仿宋_GB2312"/>
          <w:kern w:val="22"/>
          <w:sz w:val="32"/>
          <w:szCs w:val="32"/>
        </w:rPr>
        <w:t>100</w:t>
      </w:r>
      <w:r>
        <w:rPr>
          <w:rFonts w:eastAsia="仿宋_GB2312"/>
          <w:kern w:val="22"/>
          <w:sz w:val="32"/>
          <w:szCs w:val="32"/>
        </w:rPr>
        <w:t>余条。坚持政策文件与解读材料同步组织、同步审签、同步部署，通过主要负责人解读、文稿解读、问答解读等方式，解读政策文件3条。主动回应关切政府信箱群众留言10余条，主要涉及供暖、房屋质量等方面，全部在5个工作日答复完毕，群众对答复结果表示满意。按时回复12345热线9000余条，并及时做好回访，确保群众满意。</w:t>
      </w:r>
    </w:p>
    <w:p>
      <w:pPr>
        <w:spacing w:line="560" w:lineRule="exact"/>
        <w:jc w:val="left"/>
        <w:rPr>
          <w:rFonts w:eastAsia="楷体_GB2312"/>
        </w:rPr>
      </w:pPr>
      <w:r>
        <w:rPr>
          <w:rFonts w:eastAsia="楷体_GB2312"/>
        </w:rPr>
        <w:t>（二）依申请公开</w:t>
      </w:r>
    </w:p>
    <w:p>
      <w:pPr>
        <w:spacing w:line="560" w:lineRule="exact"/>
        <w:ind w:firstLine="640" w:firstLineChars="200"/>
        <w:rPr>
          <w:rFonts w:ascii="仿宋_GB2312" w:eastAsia="仿宋_GB2312"/>
          <w:szCs w:val="32"/>
        </w:rPr>
      </w:pPr>
      <w:r>
        <w:rPr>
          <w:rFonts w:eastAsia="仿宋_GB2312"/>
          <w:color w:val="000000"/>
          <w:szCs w:val="32"/>
        </w:rPr>
        <w:t>2021年度</w:t>
      </w:r>
      <w:r>
        <w:rPr>
          <w:rFonts w:hint="eastAsia" w:eastAsia="仿宋_GB2312"/>
          <w:color w:val="000000"/>
          <w:szCs w:val="32"/>
        </w:rPr>
        <w:t>，</w:t>
      </w:r>
      <w:r>
        <w:rPr>
          <w:rFonts w:eastAsia="仿宋_GB2312"/>
          <w:color w:val="000000"/>
          <w:szCs w:val="32"/>
        </w:rPr>
        <w:t>共收到政府信息公开申请7件，按时办结数6件，结转下年度继续办理1件。在办结的申请中：予以公开2件，部分公开0件，不予公开0件，无法提供4件，不予处理0件，其他处理0件。2021年</w:t>
      </w:r>
      <w:r>
        <w:rPr>
          <w:rFonts w:hint="eastAsia" w:ascii="仿宋_GB2312" w:eastAsia="仿宋_GB2312"/>
          <w:szCs w:val="32"/>
        </w:rPr>
        <w:t>未因政府信息公开被申请行政复议、提起行政诉讼。</w:t>
      </w:r>
    </w:p>
    <w:p>
      <w:pPr>
        <w:spacing w:line="560" w:lineRule="exact"/>
        <w:ind w:firstLine="640" w:firstLineChars="200"/>
        <w:rPr>
          <w:rFonts w:eastAsia="方正仿宋简体"/>
          <w:color w:val="000000"/>
          <w:szCs w:val="32"/>
        </w:rPr>
      </w:pPr>
      <w:r>
        <w:drawing>
          <wp:anchor distT="0" distB="0" distL="114300" distR="114300" simplePos="0" relativeHeight="251659264" behindDoc="1" locked="0" layoutInCell="1" allowOverlap="1">
            <wp:simplePos x="0" y="0"/>
            <wp:positionH relativeFrom="column">
              <wp:posOffset>496570</wp:posOffset>
            </wp:positionH>
            <wp:positionV relativeFrom="paragraph">
              <wp:posOffset>174625</wp:posOffset>
            </wp:positionV>
            <wp:extent cx="4572000" cy="2743200"/>
            <wp:effectExtent l="4445" t="4445" r="14605" b="1460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60" w:lineRule="exact"/>
        <w:ind w:firstLine="640" w:firstLineChars="200"/>
        <w:rPr>
          <w:rFonts w:eastAsia="方正仿宋简体"/>
          <w:color w:val="000000"/>
          <w:szCs w:val="32"/>
        </w:rPr>
      </w:pPr>
    </w:p>
    <w:p>
      <w:pPr>
        <w:spacing w:line="560" w:lineRule="exact"/>
        <w:ind w:firstLine="640" w:firstLineChars="200"/>
        <w:rPr>
          <w:rFonts w:eastAsia="仿宋_GB2312"/>
          <w:szCs w:val="32"/>
        </w:rPr>
      </w:pPr>
    </w:p>
    <w:p>
      <w:pPr>
        <w:spacing w:line="560" w:lineRule="exact"/>
        <w:ind w:firstLine="640" w:firstLineChars="200"/>
        <w:rPr>
          <w:rFonts w:eastAsia="仿宋_GB2312"/>
          <w:szCs w:val="32"/>
        </w:rPr>
      </w:pPr>
    </w:p>
    <w:p>
      <w:pPr>
        <w:spacing w:line="560" w:lineRule="exact"/>
        <w:ind w:firstLine="640" w:firstLineChars="200"/>
        <w:rPr>
          <w:rFonts w:eastAsia="仿宋_GB2312"/>
          <w:szCs w:val="32"/>
        </w:rPr>
      </w:pPr>
    </w:p>
    <w:p>
      <w:pPr>
        <w:spacing w:line="560" w:lineRule="exact"/>
        <w:ind w:firstLine="640" w:firstLineChars="200"/>
        <w:rPr>
          <w:rFonts w:eastAsia="仿宋_GB2312"/>
          <w:szCs w:val="32"/>
        </w:rPr>
      </w:pPr>
    </w:p>
    <w:p>
      <w:pPr>
        <w:spacing w:line="560" w:lineRule="exact"/>
        <w:ind w:firstLine="640" w:firstLineChars="200"/>
        <w:rPr>
          <w:rFonts w:eastAsia="仿宋_GB2312"/>
          <w:szCs w:val="32"/>
        </w:rPr>
      </w:pPr>
    </w:p>
    <w:p>
      <w:pPr>
        <w:spacing w:line="560" w:lineRule="exact"/>
        <w:ind w:firstLine="640" w:firstLineChars="200"/>
        <w:rPr>
          <w:rFonts w:eastAsia="仿宋_GB2312"/>
          <w:szCs w:val="32"/>
        </w:rPr>
      </w:pPr>
    </w:p>
    <w:p>
      <w:pPr>
        <w:spacing w:line="560" w:lineRule="exact"/>
        <w:ind w:firstLine="640" w:firstLineChars="200"/>
        <w:rPr>
          <w:rFonts w:eastAsia="楷体_GB2312"/>
        </w:rPr>
      </w:pPr>
      <w:r>
        <w:rPr>
          <w:rFonts w:eastAsia="楷体_GB2312"/>
        </w:rPr>
        <w:t>（三）政府信息管理</w:t>
      </w:r>
    </w:p>
    <w:p>
      <w:pPr>
        <w:spacing w:line="560" w:lineRule="exact"/>
        <w:jc w:val="left"/>
        <w:rPr>
          <w:rFonts w:eastAsia="仿宋_GB2312"/>
          <w:color w:val="000000"/>
          <w:szCs w:val="32"/>
        </w:rPr>
      </w:pPr>
      <w:r>
        <w:rPr>
          <w:rFonts w:eastAsia="仿宋_GB2312"/>
          <w:color w:val="000000"/>
          <w:szCs w:val="32"/>
        </w:rPr>
        <w:t>通过围绕提升政务公开质量为主线，不断完善文件管理制度、公文存档制度、信息发布审查制度、政府信息保密审核制度等工作制度，政务公开工作有序推进。坚持按照信息时效性、期限性等原则要求，对实效的信息进行及时清理、撤销，并按照要求发布最新信息。</w:t>
      </w:r>
    </w:p>
    <w:p>
      <w:pPr>
        <w:spacing w:line="560" w:lineRule="exact"/>
        <w:jc w:val="left"/>
        <w:rPr>
          <w:rStyle w:val="11"/>
          <w:rFonts w:eastAsia="楷体_GB2312"/>
          <w:sz w:val="32"/>
          <w:szCs w:val="32"/>
        </w:rPr>
      </w:pPr>
      <w:r>
        <w:rPr>
          <w:rFonts w:eastAsia="楷体_GB2312"/>
          <w:szCs w:val="32"/>
        </w:rPr>
        <w:t>（四）政府信息公开平台建设</w:t>
      </w:r>
    </w:p>
    <w:p>
      <w:pPr>
        <w:spacing w:line="560" w:lineRule="exact"/>
        <w:jc w:val="left"/>
        <w:rPr>
          <w:rFonts w:eastAsia="仿宋_GB2312"/>
          <w:color w:val="000000"/>
          <w:szCs w:val="32"/>
        </w:rPr>
      </w:pPr>
      <w:r>
        <w:rPr>
          <w:rFonts w:eastAsia="仿宋_GB2312"/>
          <w:color w:val="000000"/>
          <w:szCs w:val="32"/>
        </w:rPr>
        <w:t>2021年度认真落实省市县有关政务信息公开政策，结合新时代信息化的多样性，</w:t>
      </w:r>
      <w:r>
        <w:rPr>
          <w:rFonts w:hint="eastAsia" w:eastAsia="仿宋_GB2312"/>
          <w:color w:val="000000"/>
          <w:szCs w:val="32"/>
        </w:rPr>
        <w:t>积极</w:t>
      </w:r>
      <w:r>
        <w:rPr>
          <w:rFonts w:eastAsia="仿宋_GB2312"/>
          <w:color w:val="000000"/>
          <w:szCs w:val="32"/>
        </w:rPr>
        <w:t>探索新型政务信息公开渠道，</w:t>
      </w:r>
      <w:r>
        <w:rPr>
          <w:rFonts w:hint="eastAsia" w:eastAsia="仿宋_GB2312"/>
          <w:color w:val="000000"/>
          <w:szCs w:val="32"/>
        </w:rPr>
        <w:t>不断</w:t>
      </w:r>
      <w:r>
        <w:rPr>
          <w:rFonts w:eastAsia="仿宋_GB2312"/>
          <w:color w:val="000000"/>
          <w:szCs w:val="32"/>
        </w:rPr>
        <w:t>拓展政务信息公开途径，</w:t>
      </w:r>
      <w:r>
        <w:rPr>
          <w:rFonts w:hint="eastAsia" w:eastAsia="仿宋_GB2312"/>
          <w:color w:val="000000"/>
          <w:szCs w:val="32"/>
        </w:rPr>
        <w:t>充分利用网络的快速、便捷、广泛的特点，</w:t>
      </w:r>
      <w:r>
        <w:rPr>
          <w:rFonts w:eastAsia="仿宋_GB2312"/>
          <w:color w:val="000000"/>
          <w:szCs w:val="32"/>
        </w:rPr>
        <w:t>加强微信公众号等新媒体平台的建设力度，提升信息发布、解读回应、政民互动的整体水平。</w:t>
      </w:r>
    </w:p>
    <w:p>
      <w:pPr>
        <w:spacing w:line="560" w:lineRule="exact"/>
        <w:jc w:val="left"/>
        <w:rPr>
          <w:rFonts w:eastAsia="楷体_GB2312"/>
        </w:rPr>
      </w:pPr>
      <w:r>
        <w:rPr>
          <w:rFonts w:eastAsia="楷体_GB2312"/>
        </w:rPr>
        <w:t>（五）监督保障</w:t>
      </w:r>
    </w:p>
    <w:p>
      <w:pPr>
        <w:spacing w:line="560" w:lineRule="exact"/>
        <w:ind w:firstLine="640" w:firstLineChars="200"/>
        <w:rPr>
          <w:rFonts w:eastAsia="仿宋_GB2312"/>
          <w:color w:val="000000"/>
          <w:szCs w:val="32"/>
        </w:rPr>
      </w:pPr>
      <w:r>
        <w:rPr>
          <w:rFonts w:hint="eastAsia" w:eastAsia="仿宋_GB2312"/>
          <w:color w:val="000000"/>
          <w:szCs w:val="32"/>
        </w:rPr>
        <w:t>调整</w:t>
      </w:r>
      <w:r>
        <w:rPr>
          <w:rFonts w:eastAsia="仿宋_GB2312"/>
          <w:color w:val="000000"/>
          <w:szCs w:val="32"/>
        </w:rPr>
        <w:t>政务公开工作领导小组，负责</w:t>
      </w:r>
      <w:r>
        <w:rPr>
          <w:rFonts w:hint="eastAsia" w:eastAsia="仿宋_GB2312"/>
          <w:color w:val="000000"/>
          <w:szCs w:val="32"/>
        </w:rPr>
        <w:t>统筹</w:t>
      </w:r>
      <w:r>
        <w:rPr>
          <w:rFonts w:eastAsia="仿宋_GB2312"/>
          <w:color w:val="000000"/>
          <w:szCs w:val="32"/>
        </w:rPr>
        <w:t>推进全局政务公开工作</w:t>
      </w:r>
      <w:r>
        <w:rPr>
          <w:rFonts w:hint="eastAsia" w:eastAsia="仿宋_GB2312"/>
          <w:color w:val="000000"/>
          <w:szCs w:val="32"/>
        </w:rPr>
        <w:t>，</w:t>
      </w:r>
      <w:r>
        <w:rPr>
          <w:rFonts w:eastAsia="仿宋_GB2312"/>
          <w:color w:val="000000"/>
          <w:szCs w:val="32"/>
        </w:rPr>
        <w:t>领导小组对政务公开</w:t>
      </w:r>
      <w:r>
        <w:rPr>
          <w:rFonts w:hint="eastAsia" w:eastAsia="仿宋_GB2312"/>
          <w:color w:val="000000"/>
          <w:szCs w:val="32"/>
        </w:rPr>
        <w:t>进行</w:t>
      </w:r>
      <w:r>
        <w:rPr>
          <w:rFonts w:eastAsia="仿宋_GB2312"/>
          <w:color w:val="000000"/>
          <w:szCs w:val="32"/>
        </w:rPr>
        <w:t>监督检查，并对发现的问题提出纠正意见，限期进行整改。</w:t>
      </w:r>
      <w:r>
        <w:rPr>
          <w:rFonts w:hint="eastAsia" w:eastAsia="仿宋_GB2312"/>
          <w:color w:val="000000"/>
          <w:szCs w:val="32"/>
        </w:rPr>
        <w:t>局办公室具体负责政务公开工作，配备专职人员1名。</w:t>
      </w:r>
      <w:r>
        <w:rPr>
          <w:rFonts w:eastAsia="仿宋_GB2312"/>
          <w:color w:val="000000"/>
          <w:szCs w:val="32"/>
        </w:rPr>
        <w:t>制定年度政务公开工作培训计划，2021年度召开培训会议1次，组织开展培训活动1次。</w:t>
      </w: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hint="eastAsia" w:eastAsia="黑体"/>
          <w:szCs w:val="32"/>
        </w:rPr>
      </w:pPr>
    </w:p>
    <w:p>
      <w:pPr>
        <w:spacing w:after="156" w:afterLines="50" w:line="240" w:lineRule="auto"/>
        <w:ind w:firstLine="640" w:firstLineChars="200"/>
        <w:rPr>
          <w:rFonts w:hint="eastAsia" w:eastAsia="黑体"/>
          <w:szCs w:val="32"/>
        </w:rPr>
      </w:pPr>
    </w:p>
    <w:p>
      <w:pPr>
        <w:spacing w:after="156" w:afterLines="50" w:line="240" w:lineRule="auto"/>
        <w:ind w:firstLine="640" w:firstLineChars="200"/>
        <w:rPr>
          <w:rFonts w:hint="eastAsia" w:eastAsia="黑体"/>
          <w:szCs w:val="32"/>
        </w:rPr>
      </w:pPr>
    </w:p>
    <w:p>
      <w:pPr>
        <w:spacing w:after="156" w:afterLines="50" w:line="240" w:lineRule="auto"/>
        <w:ind w:firstLine="640" w:firstLineChars="200"/>
        <w:rPr>
          <w:rFonts w:hint="eastAsia" w:eastAsia="黑体"/>
          <w:szCs w:val="32"/>
        </w:rPr>
      </w:pPr>
    </w:p>
    <w:p>
      <w:pPr>
        <w:spacing w:after="156" w:afterLines="50" w:line="240" w:lineRule="auto"/>
        <w:ind w:firstLine="640" w:firstLineChars="200"/>
        <w:rPr>
          <w:rFonts w:hint="eastAsia" w:eastAsia="黑体"/>
          <w:szCs w:val="32"/>
        </w:rPr>
      </w:pPr>
    </w:p>
    <w:p>
      <w:pPr>
        <w:spacing w:after="156" w:afterLines="50" w:line="240" w:lineRule="auto"/>
        <w:ind w:firstLine="640" w:firstLineChars="200"/>
        <w:rPr>
          <w:rFonts w:hint="eastAsia" w:eastAsia="黑体"/>
          <w:szCs w:val="32"/>
        </w:rPr>
      </w:pPr>
    </w:p>
    <w:p>
      <w:pPr>
        <w:spacing w:after="156" w:afterLines="50" w:line="240" w:lineRule="auto"/>
        <w:ind w:firstLine="640" w:firstLineChars="200"/>
        <w:rPr>
          <w:rFonts w:hint="eastAsia"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bookmarkStart w:id="0" w:name="_GoBack"/>
      <w:bookmarkEnd w:id="0"/>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r>
        <w:rPr>
          <w:rFonts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黑体"/>
                <w:sz w:val="20"/>
              </w:rPr>
            </w:pPr>
            <w:r>
              <w:rPr>
                <w:rFonts w:eastAsia="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c>
          <w:tcPr>
            <w:tcW w:w="2131" w:type="dxa"/>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c>
          <w:tcPr>
            <w:tcW w:w="2131" w:type="dxa"/>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c>
          <w:tcPr>
            <w:tcW w:w="2131" w:type="dxa"/>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c>
          <w:tcPr>
            <w:tcW w:w="2131" w:type="dxa"/>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pPr>
              <w:widowControl/>
              <w:autoSpaceDE/>
              <w:autoSpaceDN/>
              <w:snapToGrid/>
              <w:spacing w:line="240" w:lineRule="auto"/>
              <w:ind w:firstLine="0"/>
              <w:jc w:val="center"/>
              <w:rPr>
                <w:rFonts w:eastAsia="宋体"/>
                <w:snapToGrid/>
                <w:color w:val="000000"/>
                <w:sz w:val="24"/>
                <w:szCs w:val="24"/>
              </w:rPr>
            </w:pPr>
            <w:r>
              <w:rPr>
                <w:rFonts w:eastAsia="宋体"/>
                <w:snapToGrid/>
                <w:color w:val="000000"/>
                <w:sz w:val="24"/>
                <w:szCs w:val="24"/>
              </w:rPr>
              <w:t>0</w:t>
            </w:r>
          </w:p>
        </w:tc>
      </w:tr>
    </w:tbl>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684"/>
        <w:gridCol w:w="867"/>
        <w:gridCol w:w="2189"/>
        <w:gridCol w:w="885"/>
        <w:gridCol w:w="885"/>
        <w:gridCol w:w="885"/>
        <w:gridCol w:w="885"/>
        <w:gridCol w:w="885"/>
        <w:gridCol w:w="885"/>
        <w:gridCol w:w="885"/>
      </w:tblGrid>
      <w:tr>
        <w:tblPrEx>
          <w:tblCellMar>
            <w:top w:w="0" w:type="dxa"/>
            <w:left w:w="0" w:type="dxa"/>
            <w:bottom w:w="0" w:type="dxa"/>
            <w:right w:w="0" w:type="dxa"/>
          </w:tblCellMar>
        </w:tblPrEx>
        <w:trPr>
          <w:jc w:val="center"/>
        </w:trPr>
        <w:tc>
          <w:tcPr>
            <w:tcW w:w="374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adjustRightInd w:val="0"/>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6195"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tblPrEx>
          <w:tblCellMar>
            <w:top w:w="0" w:type="dxa"/>
            <w:left w:w="0" w:type="dxa"/>
            <w:bottom w:w="0" w:type="dxa"/>
            <w:right w:w="0" w:type="dxa"/>
          </w:tblCellMar>
        </w:tblPrEx>
        <w:trPr>
          <w:jc w:val="center"/>
        </w:trPr>
        <w:tc>
          <w:tcPr>
            <w:tcW w:w="3740"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885"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4425"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885"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tblPrEx>
          <w:tblCellMar>
            <w:top w:w="0" w:type="dxa"/>
            <w:left w:w="0" w:type="dxa"/>
            <w:bottom w:w="0" w:type="dxa"/>
            <w:right w:w="0" w:type="dxa"/>
          </w:tblCellMar>
        </w:tblPrEx>
        <w:trPr>
          <w:trHeight w:val="594" w:hRule="atLeast"/>
          <w:jc w:val="center"/>
        </w:trPr>
        <w:tc>
          <w:tcPr>
            <w:tcW w:w="3740"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885"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商业</w:t>
            </w:r>
          </w:p>
          <w:p>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科研</w:t>
            </w:r>
          </w:p>
          <w:p>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8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8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88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885"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r>
      <w:tr>
        <w:tblPrEx>
          <w:tblCellMar>
            <w:top w:w="0" w:type="dxa"/>
            <w:left w:w="0" w:type="dxa"/>
            <w:bottom w:w="0" w:type="dxa"/>
            <w:right w:w="0" w:type="dxa"/>
          </w:tblCellMar>
        </w:tblPrEx>
        <w:trPr>
          <w:jc w:val="center"/>
        </w:trPr>
        <w:tc>
          <w:tcPr>
            <w:tcW w:w="374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一、本年新收政府信息公开申请数量</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7</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7</w:t>
            </w:r>
          </w:p>
        </w:tc>
      </w:tr>
      <w:tr>
        <w:tblPrEx>
          <w:tblCellMar>
            <w:top w:w="0" w:type="dxa"/>
            <w:left w:w="0" w:type="dxa"/>
            <w:bottom w:w="0" w:type="dxa"/>
            <w:right w:w="0" w:type="dxa"/>
          </w:tblCellMar>
        </w:tblPrEx>
        <w:trPr>
          <w:jc w:val="center"/>
        </w:trPr>
        <w:tc>
          <w:tcPr>
            <w:tcW w:w="374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二、上年结转政府信息公开申请数量</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684"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三、本年度办理结果</w:t>
            </w:r>
          </w:p>
        </w:tc>
        <w:tc>
          <w:tcPr>
            <w:tcW w:w="3056"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（一）予以公开</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2</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3056"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867"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（三）不予公开</w:t>
            </w: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1.属于国家秘密</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2.其他法律行政法规禁止公开</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3.危及“三安全一稳定”</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4.保护第三方合法权益</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5.属于三类内部事务信息</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6.属于四类过程性信息</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7.属于行政执法案卷</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8.属于行政查询事项</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867"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（四）无法提供</w:t>
            </w: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1.本机关不掌握相关政府信息</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4</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4</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2.没有现成信息需要另行制作</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3.补正后申请内容仍不明确</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867"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（五）不予处理</w:t>
            </w: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1.信访举报投诉类申请</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2.重复申请</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trHeight w:val="297"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3.要求提供公开出版物</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宋体"/>
                <w:snapToGrid/>
                <w:sz w:val="24"/>
                <w:szCs w:val="24"/>
              </w:rPr>
            </w:pPr>
            <w:r>
              <w:rPr>
                <w:rFonts w:eastAsia="宋体"/>
                <w:snapToGrid/>
                <w:sz w:val="20"/>
              </w:rPr>
              <w:t>4.无正当理由大量反复申请</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宋体"/>
                <w:snapToGrid/>
                <w:sz w:val="24"/>
                <w:szCs w:val="24"/>
              </w:rPr>
            </w:pPr>
            <w:r>
              <w:rPr>
                <w:rFonts w:eastAsia="宋体"/>
                <w:snapToGrid/>
                <w:sz w:val="20"/>
              </w:rPr>
              <w:t>5.要求行政机关确认或重新出具已获取信息</w:t>
            </w:r>
          </w:p>
        </w:tc>
        <w:tc>
          <w:tcPr>
            <w:tcW w:w="88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867"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（六）其他处理</w:t>
            </w:r>
          </w:p>
        </w:tc>
        <w:tc>
          <w:tcPr>
            <w:tcW w:w="21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21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3.其他</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宋体"/>
                <w:snapToGrid/>
                <w:sz w:val="24"/>
                <w:szCs w:val="24"/>
              </w:rPr>
            </w:pPr>
          </w:p>
        </w:tc>
        <w:tc>
          <w:tcPr>
            <w:tcW w:w="3056"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（七）总计</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6</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6</w:t>
            </w:r>
          </w:p>
        </w:tc>
      </w:tr>
      <w:tr>
        <w:tblPrEx>
          <w:tblCellMar>
            <w:top w:w="0" w:type="dxa"/>
            <w:left w:w="0" w:type="dxa"/>
            <w:bottom w:w="0" w:type="dxa"/>
            <w:right w:w="0" w:type="dxa"/>
          </w:tblCellMar>
        </w:tblPrEx>
        <w:trPr>
          <w:jc w:val="center"/>
        </w:trPr>
        <w:tc>
          <w:tcPr>
            <w:tcW w:w="374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宋体"/>
                <w:snapToGrid/>
                <w:sz w:val="24"/>
                <w:szCs w:val="24"/>
              </w:rPr>
            </w:pPr>
            <w:r>
              <w:rPr>
                <w:rFonts w:eastAsia="宋体"/>
                <w:snapToGrid/>
                <w:sz w:val="20"/>
              </w:rPr>
              <w:t>四、结转下年度继续办理</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1</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8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1</w:t>
            </w:r>
          </w:p>
        </w:tc>
      </w:tr>
    </w:tbl>
    <w:p>
      <w:pPr>
        <w:spacing w:after="156" w:afterLines="50" w:line="240" w:lineRule="auto"/>
        <w:ind w:firstLine="640" w:firstLineChars="200"/>
        <w:rPr>
          <w:rFonts w:eastAsia="黑体"/>
          <w:szCs w:val="32"/>
        </w:rPr>
      </w:pPr>
    </w:p>
    <w:p>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0 </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4"/>
                <w:szCs w:val="24"/>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4"/>
                <w:szCs w:val="24"/>
              </w:rPr>
              <w:t>0</w:t>
            </w:r>
          </w:p>
        </w:tc>
      </w:tr>
    </w:tbl>
    <w:p>
      <w:pPr>
        <w:spacing w:line="240" w:lineRule="auto"/>
        <w:ind w:firstLine="640" w:firstLineChars="200"/>
        <w:rPr>
          <w:rFonts w:eastAsia="黑体"/>
          <w:szCs w:val="32"/>
        </w:rPr>
      </w:pPr>
    </w:p>
    <w:p>
      <w:pPr>
        <w:spacing w:line="560" w:lineRule="exact"/>
        <w:ind w:firstLine="640" w:firstLineChars="200"/>
        <w:rPr>
          <w:rFonts w:eastAsia="黑体"/>
          <w:szCs w:val="32"/>
        </w:rPr>
      </w:pPr>
      <w:r>
        <w:rPr>
          <w:rFonts w:eastAsia="黑体"/>
          <w:szCs w:val="32"/>
        </w:rPr>
        <w:t>五、存在的主要问题及改进情况</w:t>
      </w:r>
    </w:p>
    <w:p>
      <w:pPr>
        <w:spacing w:line="560" w:lineRule="exact"/>
        <w:ind w:firstLine="640" w:firstLineChars="200"/>
        <w:rPr>
          <w:rFonts w:eastAsia="楷体_GB2312"/>
          <w:szCs w:val="32"/>
        </w:rPr>
      </w:pPr>
      <w:r>
        <w:rPr>
          <w:rFonts w:eastAsia="楷体_GB2312"/>
          <w:szCs w:val="32"/>
        </w:rPr>
        <w:t>（一）存在问题</w:t>
      </w:r>
    </w:p>
    <w:p>
      <w:pPr>
        <w:spacing w:line="560" w:lineRule="exact"/>
        <w:ind w:firstLine="640" w:firstLineChars="200"/>
        <w:rPr>
          <w:rFonts w:eastAsia="仿宋_GB2312"/>
          <w:color w:val="000000"/>
          <w:szCs w:val="32"/>
        </w:rPr>
      </w:pPr>
      <w:r>
        <w:rPr>
          <w:rFonts w:eastAsia="仿宋_GB2312"/>
          <w:color w:val="000000"/>
          <w:szCs w:val="32"/>
        </w:rPr>
        <w:t>2021年政府信息公开取得了进一步成效，但也存在一些不足，主要表现在：一是工作人员配备不足。近几年来，国家对政府信息公开工作高度重视，要求标准很高，工作任务越来越重，目前专职人员配备薄弱，影响政务公开工作开展。二是政府信息公开方式较为单一，主要依托</w:t>
      </w:r>
      <w:r>
        <w:rPr>
          <w:rFonts w:hint="eastAsia" w:eastAsia="仿宋_GB2312"/>
          <w:color w:val="000000"/>
          <w:szCs w:val="32"/>
        </w:rPr>
        <w:t>县政府</w:t>
      </w:r>
      <w:r>
        <w:rPr>
          <w:rFonts w:eastAsia="仿宋_GB2312"/>
          <w:color w:val="000000"/>
          <w:szCs w:val="32"/>
        </w:rPr>
        <w:t>网</w:t>
      </w:r>
      <w:r>
        <w:rPr>
          <w:rFonts w:hint="eastAsia" w:eastAsia="仿宋_GB2312"/>
          <w:color w:val="000000"/>
          <w:szCs w:val="32"/>
        </w:rPr>
        <w:t>站</w:t>
      </w:r>
      <w:r>
        <w:rPr>
          <w:rFonts w:eastAsia="仿宋_GB2312"/>
          <w:color w:val="000000"/>
          <w:szCs w:val="32"/>
        </w:rPr>
        <w:t>公开。三是主动公开信息不及时，落实政务公开工作安排部署不够主动，对一些应公开的政府信息不能够全面深入公开。</w:t>
      </w:r>
    </w:p>
    <w:p>
      <w:pPr>
        <w:spacing w:line="560" w:lineRule="exact"/>
        <w:ind w:firstLine="640" w:firstLineChars="200"/>
        <w:rPr>
          <w:rFonts w:eastAsia="楷体_GB2312"/>
          <w:szCs w:val="32"/>
        </w:rPr>
      </w:pPr>
      <w:r>
        <w:rPr>
          <w:rFonts w:eastAsia="楷体_GB2312"/>
          <w:szCs w:val="32"/>
        </w:rPr>
        <w:t>（二）改进措施</w:t>
      </w:r>
    </w:p>
    <w:p>
      <w:pPr>
        <w:spacing w:line="560" w:lineRule="exact"/>
        <w:ind w:firstLine="640" w:firstLineChars="200"/>
        <w:rPr>
          <w:rFonts w:eastAsia="仿宋_GB2312"/>
          <w:color w:val="000000"/>
          <w:szCs w:val="32"/>
        </w:rPr>
      </w:pPr>
      <w:r>
        <w:rPr>
          <w:rFonts w:eastAsia="仿宋_GB2312"/>
          <w:color w:val="000000"/>
          <w:szCs w:val="32"/>
        </w:rPr>
        <w:t>一是将加大专职人员配备，强化业务学习，确保圆满完成上级交办的各项工作任务。</w:t>
      </w:r>
    </w:p>
    <w:p>
      <w:pPr>
        <w:spacing w:line="560" w:lineRule="exact"/>
        <w:ind w:firstLine="640" w:firstLineChars="200"/>
        <w:rPr>
          <w:rFonts w:eastAsia="仿宋_GB2312"/>
          <w:color w:val="000000"/>
          <w:szCs w:val="32"/>
        </w:rPr>
      </w:pPr>
      <w:r>
        <w:rPr>
          <w:rFonts w:eastAsia="仿宋_GB2312"/>
          <w:color w:val="000000"/>
          <w:szCs w:val="32"/>
        </w:rPr>
        <w:t>二是将加强与媒体的沟通，提高公众对住房城乡建设信息公开的知晓率和参与度。加强网站、新媒体建设与管理，利用信息化手段丰富政府信息公开服务渠道。</w:t>
      </w:r>
    </w:p>
    <w:p>
      <w:pPr>
        <w:spacing w:line="560" w:lineRule="exact"/>
        <w:ind w:firstLine="640" w:firstLineChars="200"/>
        <w:rPr>
          <w:rFonts w:eastAsia="仿宋_GB2312"/>
          <w:sz w:val="30"/>
          <w:szCs w:val="30"/>
        </w:rPr>
      </w:pPr>
      <w:r>
        <w:rPr>
          <w:rFonts w:eastAsia="仿宋_GB2312"/>
          <w:color w:val="000000"/>
          <w:szCs w:val="32"/>
        </w:rPr>
        <w:t>三是将切实提高思想认识，不断深化对各类政府信息公开内容的规范和梳理，严格按照“公开是常态、不公开是例外”原则，全面深入做好主动公开工作。</w:t>
      </w:r>
    </w:p>
    <w:p>
      <w:pPr>
        <w:spacing w:line="560" w:lineRule="exact"/>
        <w:ind w:firstLine="640" w:firstLineChars="200"/>
        <w:rPr>
          <w:rFonts w:eastAsia="黑体"/>
          <w:szCs w:val="32"/>
        </w:rPr>
      </w:pPr>
      <w:r>
        <w:rPr>
          <w:rFonts w:eastAsia="黑体"/>
          <w:szCs w:val="32"/>
        </w:rPr>
        <w:t>六、其他需要报告的事项</w:t>
      </w:r>
    </w:p>
    <w:p>
      <w:pPr>
        <w:spacing w:line="560" w:lineRule="exact"/>
        <w:ind w:firstLine="640" w:firstLineChars="200"/>
        <w:rPr>
          <w:rFonts w:eastAsia="楷体_GB2312"/>
          <w:szCs w:val="32"/>
        </w:rPr>
      </w:pPr>
      <w:r>
        <w:rPr>
          <w:rFonts w:eastAsia="楷体_GB2312"/>
          <w:szCs w:val="32"/>
        </w:rPr>
        <w:t>（一）收取信息处理费情况</w:t>
      </w:r>
    </w:p>
    <w:p>
      <w:pPr>
        <w:spacing w:line="560" w:lineRule="exact"/>
        <w:ind w:firstLine="640" w:firstLineChars="200"/>
        <w:rPr>
          <w:rFonts w:eastAsia="仿宋_GB2312"/>
          <w:color w:val="000000"/>
          <w:kern w:val="2"/>
          <w:szCs w:val="32"/>
        </w:rPr>
      </w:pPr>
      <w:r>
        <w:rPr>
          <w:rFonts w:eastAsia="仿宋_GB2312"/>
          <w:color w:val="000000"/>
          <w:kern w:val="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eastAsia="楷体_GB2312"/>
          <w:szCs w:val="32"/>
        </w:rPr>
      </w:pPr>
      <w:r>
        <w:rPr>
          <w:rFonts w:eastAsia="楷体_GB2312"/>
          <w:szCs w:val="32"/>
        </w:rPr>
        <w:t>（二）落实上级年度政务公开工作要点情况</w:t>
      </w:r>
    </w:p>
    <w:p>
      <w:pPr>
        <w:spacing w:line="600" w:lineRule="exact"/>
        <w:ind w:firstLine="640" w:firstLineChars="200"/>
        <w:rPr>
          <w:rFonts w:eastAsia="仿宋_GB2312"/>
          <w:color w:val="000000"/>
          <w:kern w:val="2"/>
          <w:szCs w:val="32"/>
          <w:highlight w:val="yellow"/>
        </w:rPr>
      </w:pPr>
      <w:r>
        <w:rPr>
          <w:rFonts w:hint="eastAsia" w:eastAsia="仿宋_GB2312"/>
          <w:kern w:val="22"/>
          <w:szCs w:val="32"/>
        </w:rPr>
        <w:t>制定《高青县住房和城乡建设局2021年度政务公开工作实施方案》，</w:t>
      </w:r>
      <w:r>
        <w:rPr>
          <w:rFonts w:eastAsia="仿宋_GB2312"/>
          <w:kern w:val="22"/>
          <w:szCs w:val="32"/>
        </w:rPr>
        <w:t>重点做好住建领域信息公开工作，主动公开政策文件信息3条，公开人事任免信息1条，公开财政预决算信息2条。按季度主动公开政府工作报告任务执行情况、年度重点工作完成情况、民生实事工作进展情况等信息累计12条。主动公开重大决策事项1项，公开草案、征求意见等信息6条。做好行政执法事前、事后信息公开，公开行政执法事项清单、行政执法服务指南、行政执法服务指南、行政执法服务指南、执法结果、执法统计年报等信息6条。做好</w:t>
      </w:r>
      <w:r>
        <w:rPr>
          <w:rFonts w:hint="eastAsia" w:eastAsia="仿宋_GB2312"/>
          <w:kern w:val="22"/>
          <w:szCs w:val="32"/>
        </w:rPr>
        <w:t>“</w:t>
      </w:r>
      <w:r>
        <w:rPr>
          <w:rFonts w:eastAsia="仿宋_GB2312"/>
          <w:kern w:val="22"/>
          <w:szCs w:val="32"/>
        </w:rPr>
        <w:t>双</w:t>
      </w:r>
      <w:r>
        <w:rPr>
          <w:rFonts w:hint="eastAsia" w:eastAsia="仿宋_GB2312"/>
          <w:kern w:val="22"/>
          <w:szCs w:val="32"/>
        </w:rPr>
        <w:t>随机、</w:t>
      </w:r>
      <w:r>
        <w:rPr>
          <w:rFonts w:eastAsia="仿宋_GB2312"/>
          <w:kern w:val="22"/>
          <w:szCs w:val="32"/>
        </w:rPr>
        <w:t>一公开</w:t>
      </w:r>
      <w:r>
        <w:rPr>
          <w:rFonts w:hint="eastAsia" w:eastAsia="仿宋_GB2312"/>
          <w:kern w:val="22"/>
          <w:szCs w:val="32"/>
        </w:rPr>
        <w:t>”</w:t>
      </w:r>
      <w:r>
        <w:rPr>
          <w:rFonts w:eastAsia="仿宋_GB2312"/>
          <w:kern w:val="22"/>
          <w:szCs w:val="32"/>
        </w:rPr>
        <w:t>信息公开，公开了随机抽查事项清单、抽查情况和查处结果、年度抽查工作计划、工作指引等信息6条。做好重大项目信息公开，公开了3个项目项目概况、批准结果信息、招标投标信息、施工有关信息、质量安全监督信息、重大设计变更信息、竣工有关信息等信息10余条。</w:t>
      </w:r>
    </w:p>
    <w:p>
      <w:pPr>
        <w:spacing w:line="560" w:lineRule="exact"/>
        <w:ind w:firstLine="640" w:firstLineChars="200"/>
        <w:rPr>
          <w:rFonts w:eastAsia="楷体_GB2312"/>
          <w:szCs w:val="32"/>
        </w:rPr>
      </w:pPr>
      <w:r>
        <w:rPr>
          <w:rFonts w:eastAsia="楷体_GB2312"/>
          <w:szCs w:val="32"/>
        </w:rPr>
        <w:t>（三）人大代表建议和政协委员提案办理结果公开情况</w:t>
      </w:r>
    </w:p>
    <w:p>
      <w:pPr>
        <w:pStyle w:val="6"/>
        <w:widowControl/>
        <w:spacing w:after="0" w:line="560" w:lineRule="exact"/>
        <w:ind w:firstLine="640" w:firstLineChars="200"/>
        <w:jc w:val="both"/>
        <w:rPr>
          <w:rFonts w:eastAsia="仿宋_GB2312"/>
          <w:color w:val="000000"/>
          <w:kern w:val="2"/>
          <w:sz w:val="32"/>
          <w:szCs w:val="32"/>
        </w:rPr>
      </w:pPr>
      <w:r>
        <w:rPr>
          <w:rFonts w:eastAsia="仿宋_GB2312"/>
          <w:color w:val="000000"/>
          <w:kern w:val="2"/>
          <w:sz w:val="32"/>
          <w:szCs w:val="32"/>
        </w:rPr>
        <w:t>按照《高青县人民政府办公室关于做好2021年度政府系统建议提案办理工作的通知》要求，在县政府网站“建议提案办理”</w:t>
      </w:r>
      <w:r>
        <w:rPr>
          <w:rFonts w:hint="eastAsia" w:eastAsia="仿宋_GB2312"/>
          <w:color w:val="000000"/>
          <w:kern w:val="2"/>
          <w:sz w:val="32"/>
          <w:szCs w:val="32"/>
        </w:rPr>
        <w:t>专题</w:t>
      </w:r>
      <w:r>
        <w:rPr>
          <w:rFonts w:eastAsia="仿宋_GB2312"/>
          <w:color w:val="000000"/>
          <w:kern w:val="2"/>
          <w:sz w:val="32"/>
          <w:szCs w:val="32"/>
        </w:rPr>
        <w:t>主动公开人大代表建议和政协委员提案办理情况。2021年主动公开</w:t>
      </w:r>
      <w:r>
        <w:rPr>
          <w:rFonts w:hint="eastAsia" w:eastAsia="仿宋_GB2312"/>
          <w:color w:val="000000"/>
          <w:kern w:val="2"/>
          <w:sz w:val="32"/>
          <w:szCs w:val="32"/>
        </w:rPr>
        <w:t>本机关</w:t>
      </w:r>
      <w:r>
        <w:rPr>
          <w:rFonts w:eastAsia="仿宋_GB2312"/>
          <w:color w:val="000000"/>
          <w:kern w:val="2"/>
          <w:sz w:val="32"/>
          <w:szCs w:val="32"/>
        </w:rPr>
        <w:t>承办的4</w:t>
      </w:r>
      <w:r>
        <w:rPr>
          <w:rFonts w:hint="eastAsia" w:ascii="仿宋_GB2312" w:eastAsia="仿宋_GB2312"/>
          <w:sz w:val="32"/>
          <w:szCs w:val="32"/>
        </w:rPr>
        <w:t>件县十七届人大五次会议建议、8件县政协十四届五次会议提案</w:t>
      </w:r>
      <w:r>
        <w:rPr>
          <w:rFonts w:eastAsia="仿宋_GB2312"/>
          <w:color w:val="000000"/>
          <w:kern w:val="2"/>
          <w:sz w:val="32"/>
          <w:szCs w:val="32"/>
        </w:rPr>
        <w:t>的</w:t>
      </w:r>
      <w:r>
        <w:rPr>
          <w:rFonts w:hint="eastAsia" w:ascii="仿宋_GB2312" w:eastAsia="仿宋_GB2312"/>
          <w:sz w:val="32"/>
          <w:szCs w:val="32"/>
        </w:rPr>
        <w:t>办理结果。</w:t>
      </w:r>
    </w:p>
    <w:p>
      <w:pPr>
        <w:spacing w:line="560" w:lineRule="exact"/>
        <w:ind w:firstLine="640" w:firstLineChars="200"/>
        <w:rPr>
          <w:rFonts w:eastAsia="楷体_GB2312"/>
          <w:szCs w:val="32"/>
        </w:rPr>
      </w:pPr>
      <w:r>
        <w:rPr>
          <w:rFonts w:eastAsia="楷体_GB2312"/>
          <w:szCs w:val="32"/>
        </w:rPr>
        <w:t>（四）政务公开工作创新情况</w:t>
      </w:r>
    </w:p>
    <w:p>
      <w:pPr>
        <w:pStyle w:val="6"/>
        <w:widowControl/>
        <w:spacing w:after="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积极</w:t>
      </w:r>
      <w:r>
        <w:rPr>
          <w:rFonts w:eastAsia="仿宋_GB2312"/>
          <w:color w:val="000000"/>
          <w:kern w:val="2"/>
          <w:sz w:val="32"/>
          <w:szCs w:val="32"/>
        </w:rPr>
        <w:t>探索政务服务公开新模式，打造三位一体政民互动平台</w:t>
      </w:r>
      <w:r>
        <w:rPr>
          <w:rFonts w:hint="eastAsia" w:eastAsia="仿宋_GB2312"/>
          <w:color w:val="000000"/>
          <w:kern w:val="2"/>
          <w:sz w:val="32"/>
          <w:szCs w:val="32"/>
        </w:rPr>
        <w:t>，</w:t>
      </w:r>
      <w:r>
        <w:rPr>
          <w:rFonts w:eastAsia="仿宋_GB2312"/>
          <w:color w:val="000000"/>
          <w:kern w:val="2"/>
          <w:sz w:val="32"/>
          <w:szCs w:val="32"/>
        </w:rPr>
        <w:t>依托</w:t>
      </w:r>
      <w:r>
        <w:rPr>
          <w:rFonts w:hint="eastAsia" w:eastAsia="仿宋_GB2312"/>
          <w:color w:val="000000"/>
          <w:kern w:val="2"/>
          <w:sz w:val="32"/>
          <w:szCs w:val="32"/>
        </w:rPr>
        <w:t>政府网站</w:t>
      </w:r>
      <w:r>
        <w:rPr>
          <w:rFonts w:eastAsia="仿宋_GB2312"/>
          <w:color w:val="000000"/>
          <w:kern w:val="2"/>
          <w:sz w:val="32"/>
          <w:szCs w:val="32"/>
        </w:rPr>
        <w:t>、1234</w:t>
      </w:r>
      <w:r>
        <w:rPr>
          <w:rFonts w:hint="eastAsia" w:eastAsia="仿宋_GB2312"/>
          <w:color w:val="000000"/>
          <w:kern w:val="2"/>
          <w:sz w:val="32"/>
          <w:szCs w:val="32"/>
        </w:rPr>
        <w:t>5</w:t>
      </w:r>
      <w:r>
        <w:rPr>
          <w:rFonts w:eastAsia="仿宋_GB2312"/>
          <w:color w:val="000000"/>
          <w:kern w:val="2"/>
          <w:sz w:val="32"/>
          <w:szCs w:val="32"/>
        </w:rPr>
        <w:t>热线、</w:t>
      </w:r>
      <w:r>
        <w:rPr>
          <w:rFonts w:hint="eastAsia" w:eastAsia="仿宋_GB2312"/>
          <w:color w:val="000000"/>
          <w:kern w:val="2"/>
          <w:sz w:val="32"/>
          <w:szCs w:val="32"/>
        </w:rPr>
        <w:t>新媒体</w:t>
      </w:r>
      <w:r>
        <w:rPr>
          <w:rFonts w:eastAsia="仿宋_GB2312"/>
          <w:color w:val="000000"/>
          <w:kern w:val="2"/>
          <w:sz w:val="32"/>
          <w:szCs w:val="32"/>
        </w:rPr>
        <w:t>三大模块，建设政民互动中心，搭建政府与公众互动交流的有效平台，了解群众诉求、解答群众问题，实现“零距离沟通、多维度交流、全方位互动”的政务服务新模式</w:t>
      </w:r>
      <w:r>
        <w:rPr>
          <w:rFonts w:hint="eastAsia" w:eastAsia="仿宋_GB2312"/>
          <w:color w:val="000000"/>
          <w:kern w:val="2"/>
          <w:sz w:val="32"/>
          <w:szCs w:val="32"/>
        </w:rPr>
        <w:t>，探索构建群众</w:t>
      </w:r>
      <w:r>
        <w:rPr>
          <w:rFonts w:eastAsia="仿宋_GB2312"/>
          <w:color w:val="000000"/>
          <w:kern w:val="2"/>
          <w:sz w:val="32"/>
          <w:szCs w:val="32"/>
        </w:rPr>
        <w:t>参与</w:t>
      </w:r>
      <w:r>
        <w:rPr>
          <w:rFonts w:hint="eastAsia" w:eastAsia="仿宋_GB2312"/>
          <w:color w:val="000000"/>
          <w:kern w:val="2"/>
          <w:sz w:val="32"/>
          <w:szCs w:val="32"/>
        </w:rPr>
        <w:t>、</w:t>
      </w:r>
      <w:r>
        <w:rPr>
          <w:rFonts w:eastAsia="仿宋_GB2312"/>
          <w:color w:val="000000"/>
          <w:kern w:val="2"/>
          <w:sz w:val="32"/>
          <w:szCs w:val="32"/>
        </w:rPr>
        <w:t>政府治理</w:t>
      </w:r>
      <w:r>
        <w:rPr>
          <w:rFonts w:hint="eastAsia" w:eastAsia="仿宋_GB2312"/>
          <w:color w:val="000000"/>
          <w:kern w:val="2"/>
          <w:sz w:val="32"/>
          <w:szCs w:val="32"/>
        </w:rPr>
        <w:t>、</w:t>
      </w:r>
      <w:r>
        <w:rPr>
          <w:rFonts w:eastAsia="仿宋_GB2312"/>
          <w:color w:val="000000"/>
          <w:kern w:val="2"/>
          <w:sz w:val="32"/>
          <w:szCs w:val="32"/>
        </w:rPr>
        <w:t>政民互动、政社共治的良好格局。</w:t>
      </w:r>
    </w:p>
    <w:p>
      <w:pPr>
        <w:spacing w:line="560" w:lineRule="exact"/>
        <w:ind w:firstLine="640" w:firstLineChars="200"/>
        <w:rPr>
          <w:rFonts w:eastAsia="楷体_GB2312"/>
          <w:szCs w:val="32"/>
        </w:rPr>
      </w:pPr>
      <w:r>
        <w:rPr>
          <w:rFonts w:eastAsia="楷体_GB2312"/>
          <w:szCs w:val="32"/>
        </w:rPr>
        <w:t>（五）有关数据统计说明</w:t>
      </w:r>
    </w:p>
    <w:p>
      <w:pPr>
        <w:pStyle w:val="6"/>
        <w:widowControl/>
        <w:spacing w:after="0" w:line="560" w:lineRule="exact"/>
        <w:ind w:firstLine="640" w:firstLineChars="200"/>
        <w:jc w:val="both"/>
        <w:rPr>
          <w:rFonts w:eastAsia="仿宋_GB2312"/>
          <w:color w:val="000000"/>
          <w:kern w:val="2"/>
          <w:sz w:val="32"/>
          <w:szCs w:val="32"/>
        </w:rPr>
      </w:pPr>
      <w:r>
        <w:rPr>
          <w:rFonts w:eastAsia="仿宋_GB2312"/>
          <w:color w:val="000000"/>
          <w:kern w:val="2"/>
          <w:sz w:val="32"/>
          <w:szCs w:val="32"/>
        </w:rPr>
        <w:t>报告中所列数据可能因四舍五入原因与数据直接相加之和存在尾数差异。</w:t>
      </w:r>
    </w:p>
    <w:p>
      <w:pPr>
        <w:spacing w:line="560" w:lineRule="exact"/>
        <w:ind w:firstLine="640" w:firstLineChars="200"/>
        <w:rPr>
          <w:rFonts w:eastAsia="楷体_GB2312"/>
          <w:szCs w:val="32"/>
        </w:rPr>
      </w:pPr>
      <w:r>
        <w:rPr>
          <w:rFonts w:eastAsia="楷体_GB2312"/>
          <w:szCs w:val="32"/>
        </w:rPr>
        <w:t>（六）公共企事业单位信息公开工作开展情况</w:t>
      </w:r>
    </w:p>
    <w:p>
      <w:pPr>
        <w:spacing w:line="560" w:lineRule="exact"/>
        <w:ind w:firstLine="640" w:firstLineChars="200"/>
        <w:rPr>
          <w:rFonts w:eastAsia="仿宋_GB2312"/>
          <w:color w:val="000000"/>
          <w:szCs w:val="32"/>
        </w:rPr>
      </w:pPr>
      <w:r>
        <w:rPr>
          <w:rFonts w:hint="eastAsia" w:eastAsia="仿宋_GB2312"/>
          <w:color w:val="000000"/>
          <w:szCs w:val="32"/>
        </w:rPr>
        <w:t>我县供热单位有集中供热站和开创热力2家，2021年本着服务群众、方便群众的原则，对公司制度、服务电话、收费标准、收费依据、服务指南等信息进行公开，共计公开信息10余条。</w:t>
      </w:r>
    </w:p>
    <w:p>
      <w:pPr>
        <w:spacing w:line="560" w:lineRule="exact"/>
        <w:ind w:firstLine="640" w:firstLineChars="200"/>
        <w:rPr>
          <w:rFonts w:eastAsia="楷体_GB2312"/>
          <w:sz w:val="30"/>
          <w:szCs w:val="30"/>
        </w:rPr>
      </w:pPr>
      <w:r>
        <w:rPr>
          <w:rFonts w:hint="eastAsia" w:eastAsia="仿宋_GB2312"/>
          <w:color w:val="000000"/>
          <w:szCs w:val="32"/>
        </w:rPr>
        <w:t>我县燃气企业有金捷天然气公司1家，2021年对公司基本信息、管理制度、便民电话、用气报装、安装工作流程、收费依据等信息进行公开，共计公开信息5条。</w:t>
      </w:r>
    </w:p>
    <w:p>
      <w:pPr>
        <w:spacing w:line="560" w:lineRule="exact"/>
        <w:ind w:firstLine="600" w:firstLineChars="200"/>
        <w:rPr>
          <w:rFonts w:eastAsia="楷体_GB2312"/>
          <w:sz w:val="30"/>
          <w:szCs w:val="30"/>
        </w:rPr>
      </w:pPr>
    </w:p>
    <w:sectPr>
      <w:pgSz w:w="11906" w:h="16838"/>
      <w:pgMar w:top="1440"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5AB9"/>
    <w:rsid w:val="00024945"/>
    <w:rsid w:val="000A24E5"/>
    <w:rsid w:val="00117733"/>
    <w:rsid w:val="00121DCF"/>
    <w:rsid w:val="001640B3"/>
    <w:rsid w:val="00211942"/>
    <w:rsid w:val="002E3543"/>
    <w:rsid w:val="003121F9"/>
    <w:rsid w:val="003C2AF7"/>
    <w:rsid w:val="003D4B1F"/>
    <w:rsid w:val="003F2368"/>
    <w:rsid w:val="00415AB1"/>
    <w:rsid w:val="00510F62"/>
    <w:rsid w:val="005244A9"/>
    <w:rsid w:val="00591E5D"/>
    <w:rsid w:val="005C5FF4"/>
    <w:rsid w:val="00646977"/>
    <w:rsid w:val="00673AC7"/>
    <w:rsid w:val="00704FCD"/>
    <w:rsid w:val="00731E8C"/>
    <w:rsid w:val="00735E64"/>
    <w:rsid w:val="007667C4"/>
    <w:rsid w:val="0084021E"/>
    <w:rsid w:val="008C4ED2"/>
    <w:rsid w:val="009B028C"/>
    <w:rsid w:val="00B4423C"/>
    <w:rsid w:val="00BD2586"/>
    <w:rsid w:val="00C040A7"/>
    <w:rsid w:val="00C17677"/>
    <w:rsid w:val="00C67940"/>
    <w:rsid w:val="00CC2BE7"/>
    <w:rsid w:val="00CD1D00"/>
    <w:rsid w:val="00CF6382"/>
    <w:rsid w:val="00E44A7B"/>
    <w:rsid w:val="00E8525F"/>
    <w:rsid w:val="00EA0721"/>
    <w:rsid w:val="00EF5607"/>
    <w:rsid w:val="00F83D35"/>
    <w:rsid w:val="00FA216A"/>
    <w:rsid w:val="00FD5381"/>
    <w:rsid w:val="01E94CE8"/>
    <w:rsid w:val="02094A42"/>
    <w:rsid w:val="02100A54"/>
    <w:rsid w:val="02663C42"/>
    <w:rsid w:val="03282B7E"/>
    <w:rsid w:val="03F17041"/>
    <w:rsid w:val="040E6340"/>
    <w:rsid w:val="042B5143"/>
    <w:rsid w:val="04EE5B08"/>
    <w:rsid w:val="05F11A75"/>
    <w:rsid w:val="068E7C84"/>
    <w:rsid w:val="06B238FA"/>
    <w:rsid w:val="06BD229F"/>
    <w:rsid w:val="077E37DC"/>
    <w:rsid w:val="079F319E"/>
    <w:rsid w:val="07C35693"/>
    <w:rsid w:val="07DD6ABC"/>
    <w:rsid w:val="080A1514"/>
    <w:rsid w:val="08DD4532"/>
    <w:rsid w:val="09A11A04"/>
    <w:rsid w:val="09FC30DE"/>
    <w:rsid w:val="0A1246B0"/>
    <w:rsid w:val="0A4A209B"/>
    <w:rsid w:val="0A782765"/>
    <w:rsid w:val="0A7C3C8A"/>
    <w:rsid w:val="0AEE6ECB"/>
    <w:rsid w:val="0B0C4956"/>
    <w:rsid w:val="0C1C1816"/>
    <w:rsid w:val="0C50326D"/>
    <w:rsid w:val="0CCA1272"/>
    <w:rsid w:val="0D9A50E8"/>
    <w:rsid w:val="0DC43F13"/>
    <w:rsid w:val="0E8D07A9"/>
    <w:rsid w:val="0E947104"/>
    <w:rsid w:val="0F5B2655"/>
    <w:rsid w:val="0F841BAC"/>
    <w:rsid w:val="11E42DD6"/>
    <w:rsid w:val="12303925"/>
    <w:rsid w:val="124A70DD"/>
    <w:rsid w:val="12795640"/>
    <w:rsid w:val="132A0CBC"/>
    <w:rsid w:val="133D09EF"/>
    <w:rsid w:val="13806B2E"/>
    <w:rsid w:val="147D0C2D"/>
    <w:rsid w:val="14F25809"/>
    <w:rsid w:val="165F5FD9"/>
    <w:rsid w:val="16705A17"/>
    <w:rsid w:val="16F7797C"/>
    <w:rsid w:val="1715758D"/>
    <w:rsid w:val="17996410"/>
    <w:rsid w:val="182E6B59"/>
    <w:rsid w:val="194F4FD8"/>
    <w:rsid w:val="19AE61A3"/>
    <w:rsid w:val="1A147FD0"/>
    <w:rsid w:val="1B0B3181"/>
    <w:rsid w:val="1B18764C"/>
    <w:rsid w:val="1B5E59A7"/>
    <w:rsid w:val="1BA15893"/>
    <w:rsid w:val="1BB76E65"/>
    <w:rsid w:val="1D992CC6"/>
    <w:rsid w:val="1DF510EF"/>
    <w:rsid w:val="1E285DF8"/>
    <w:rsid w:val="1E990AA4"/>
    <w:rsid w:val="1F5A72D6"/>
    <w:rsid w:val="209D7E31"/>
    <w:rsid w:val="21FE759C"/>
    <w:rsid w:val="222D7E81"/>
    <w:rsid w:val="22673393"/>
    <w:rsid w:val="22DE117B"/>
    <w:rsid w:val="253B28B5"/>
    <w:rsid w:val="257B0F03"/>
    <w:rsid w:val="25E3199C"/>
    <w:rsid w:val="265E2CFF"/>
    <w:rsid w:val="26CA2142"/>
    <w:rsid w:val="27785C0B"/>
    <w:rsid w:val="282B4E63"/>
    <w:rsid w:val="288D3427"/>
    <w:rsid w:val="28F17E5A"/>
    <w:rsid w:val="29F16ABA"/>
    <w:rsid w:val="2A021BF3"/>
    <w:rsid w:val="2A3E70CF"/>
    <w:rsid w:val="2BC730F4"/>
    <w:rsid w:val="2C5D75B5"/>
    <w:rsid w:val="2C7566AC"/>
    <w:rsid w:val="2C770676"/>
    <w:rsid w:val="2D1A7254"/>
    <w:rsid w:val="2E110E54"/>
    <w:rsid w:val="2E8928E3"/>
    <w:rsid w:val="2E9102CB"/>
    <w:rsid w:val="306453B6"/>
    <w:rsid w:val="307B6426"/>
    <w:rsid w:val="31462D0D"/>
    <w:rsid w:val="315A40C3"/>
    <w:rsid w:val="31BD1126"/>
    <w:rsid w:val="322F032F"/>
    <w:rsid w:val="325E7967"/>
    <w:rsid w:val="329146DD"/>
    <w:rsid w:val="32CC7242"/>
    <w:rsid w:val="33016EEC"/>
    <w:rsid w:val="33C00B55"/>
    <w:rsid w:val="353C245D"/>
    <w:rsid w:val="353D61D5"/>
    <w:rsid w:val="36744C1F"/>
    <w:rsid w:val="36C721FA"/>
    <w:rsid w:val="37094303"/>
    <w:rsid w:val="375810A4"/>
    <w:rsid w:val="378679C0"/>
    <w:rsid w:val="38392C84"/>
    <w:rsid w:val="39E3734B"/>
    <w:rsid w:val="3A092B2A"/>
    <w:rsid w:val="3BCE402B"/>
    <w:rsid w:val="3BFA4E20"/>
    <w:rsid w:val="3C94492D"/>
    <w:rsid w:val="3D600CB3"/>
    <w:rsid w:val="3D9A1CEA"/>
    <w:rsid w:val="3EDE27D7"/>
    <w:rsid w:val="3EEF4D65"/>
    <w:rsid w:val="40AD2461"/>
    <w:rsid w:val="42014725"/>
    <w:rsid w:val="45074E29"/>
    <w:rsid w:val="45252F0E"/>
    <w:rsid w:val="45CA7611"/>
    <w:rsid w:val="47032A98"/>
    <w:rsid w:val="47BC742D"/>
    <w:rsid w:val="49B36407"/>
    <w:rsid w:val="4A0F5F3A"/>
    <w:rsid w:val="4AFC64BF"/>
    <w:rsid w:val="4B0F7073"/>
    <w:rsid w:val="4B63653E"/>
    <w:rsid w:val="4C116304"/>
    <w:rsid w:val="4CFA2007"/>
    <w:rsid w:val="4DBA61BD"/>
    <w:rsid w:val="4EC372F3"/>
    <w:rsid w:val="4F2C4E99"/>
    <w:rsid w:val="50221009"/>
    <w:rsid w:val="50566671"/>
    <w:rsid w:val="50F007AD"/>
    <w:rsid w:val="52304CA0"/>
    <w:rsid w:val="54646E83"/>
    <w:rsid w:val="549B07A0"/>
    <w:rsid w:val="55346855"/>
    <w:rsid w:val="55545149"/>
    <w:rsid w:val="55676C2B"/>
    <w:rsid w:val="556A2277"/>
    <w:rsid w:val="55DC0321"/>
    <w:rsid w:val="564A2742"/>
    <w:rsid w:val="567A0BDF"/>
    <w:rsid w:val="56946750"/>
    <w:rsid w:val="56B440F1"/>
    <w:rsid w:val="573D6493"/>
    <w:rsid w:val="57DC3034"/>
    <w:rsid w:val="580A1AEF"/>
    <w:rsid w:val="5813309A"/>
    <w:rsid w:val="583D3C73"/>
    <w:rsid w:val="58F00CE5"/>
    <w:rsid w:val="5AF2343A"/>
    <w:rsid w:val="5C0029AC"/>
    <w:rsid w:val="5DAB0700"/>
    <w:rsid w:val="5DBD5D23"/>
    <w:rsid w:val="5F0123C7"/>
    <w:rsid w:val="61504A17"/>
    <w:rsid w:val="615C785F"/>
    <w:rsid w:val="617B443A"/>
    <w:rsid w:val="62312A9A"/>
    <w:rsid w:val="62372924"/>
    <w:rsid w:val="62792BC7"/>
    <w:rsid w:val="62AF7E63"/>
    <w:rsid w:val="63185A08"/>
    <w:rsid w:val="63595839"/>
    <w:rsid w:val="63A31776"/>
    <w:rsid w:val="63A44E4C"/>
    <w:rsid w:val="645E38EF"/>
    <w:rsid w:val="653308D7"/>
    <w:rsid w:val="653A252B"/>
    <w:rsid w:val="66D60BA6"/>
    <w:rsid w:val="67F325A0"/>
    <w:rsid w:val="68694610"/>
    <w:rsid w:val="68880F3A"/>
    <w:rsid w:val="696A4AE4"/>
    <w:rsid w:val="696A6892"/>
    <w:rsid w:val="6A224324"/>
    <w:rsid w:val="6A7F45BF"/>
    <w:rsid w:val="6B8137BE"/>
    <w:rsid w:val="6BFD1C3F"/>
    <w:rsid w:val="6CC369E5"/>
    <w:rsid w:val="6D5910F7"/>
    <w:rsid w:val="6E8977BA"/>
    <w:rsid w:val="6E8E4DD0"/>
    <w:rsid w:val="6F37002D"/>
    <w:rsid w:val="70E717C8"/>
    <w:rsid w:val="715F2A54"/>
    <w:rsid w:val="71BE59CD"/>
    <w:rsid w:val="72C54B39"/>
    <w:rsid w:val="735C13E0"/>
    <w:rsid w:val="739015EB"/>
    <w:rsid w:val="746643CB"/>
    <w:rsid w:val="7571100F"/>
    <w:rsid w:val="76CA4E14"/>
    <w:rsid w:val="78960402"/>
    <w:rsid w:val="79BC4EE7"/>
    <w:rsid w:val="79DA66F5"/>
    <w:rsid w:val="7AA02113"/>
    <w:rsid w:val="7AA15E8B"/>
    <w:rsid w:val="7B454A69"/>
    <w:rsid w:val="7B4C4049"/>
    <w:rsid w:val="7B856D2A"/>
    <w:rsid w:val="7CB225D2"/>
    <w:rsid w:val="7CD12A58"/>
    <w:rsid w:val="7CFD384D"/>
    <w:rsid w:val="7DAC7021"/>
    <w:rsid w:val="7E3D6DC3"/>
    <w:rsid w:val="7F7B6CAB"/>
    <w:rsid w:val="7FCB6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qFormat/>
    <w:uiPriority w:val="0"/>
    <w:pPr>
      <w:spacing w:after="150"/>
      <w:jc w:val="left"/>
    </w:pPr>
    <w:rPr>
      <w:sz w:val="24"/>
    </w:rPr>
  </w:style>
  <w:style w:type="paragraph" w:styleId="7">
    <w:name w:val="annotation subject"/>
    <w:basedOn w:val="2"/>
    <w:next w:val="2"/>
    <w:link w:val="15"/>
    <w:semiHidden/>
    <w:unhideWhenUsed/>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character" w:customStyle="1" w:styleId="12">
    <w:name w:val="页眉 Char"/>
    <w:basedOn w:val="10"/>
    <w:link w:val="5"/>
    <w:qFormat/>
    <w:uiPriority w:val="99"/>
    <w:rPr>
      <w:rFonts w:ascii="Times New Roman" w:hAnsi="Times New Roman" w:eastAsia="方正仿宋_GBK" w:cs="Times New Roman"/>
      <w:snapToGrid w:val="0"/>
      <w:kern w:val="0"/>
      <w:sz w:val="18"/>
      <w:szCs w:val="18"/>
    </w:rPr>
  </w:style>
  <w:style w:type="character" w:customStyle="1" w:styleId="13">
    <w:name w:val="页脚 Char"/>
    <w:basedOn w:val="10"/>
    <w:link w:val="4"/>
    <w:qFormat/>
    <w:uiPriority w:val="99"/>
    <w:rPr>
      <w:rFonts w:ascii="Times New Roman" w:hAnsi="Times New Roman" w:eastAsia="方正仿宋_GBK" w:cs="Times New Roman"/>
      <w:snapToGrid w:val="0"/>
      <w:kern w:val="0"/>
      <w:sz w:val="18"/>
      <w:szCs w:val="18"/>
    </w:rPr>
  </w:style>
  <w:style w:type="character" w:customStyle="1" w:styleId="14">
    <w:name w:val="批注文字 Char"/>
    <w:basedOn w:val="10"/>
    <w:link w:val="2"/>
    <w:semiHidden/>
    <w:uiPriority w:val="99"/>
    <w:rPr>
      <w:rFonts w:eastAsia="方正仿宋_GBK"/>
      <w:snapToGrid w:val="0"/>
      <w:sz w:val="32"/>
    </w:rPr>
  </w:style>
  <w:style w:type="character" w:customStyle="1" w:styleId="15">
    <w:name w:val="批注主题 Char"/>
    <w:basedOn w:val="14"/>
    <w:link w:val="7"/>
    <w:semiHidden/>
    <w:uiPriority w:val="99"/>
    <w:rPr>
      <w:rFonts w:eastAsia="方正仿宋_GBK"/>
      <w:b/>
      <w:bCs/>
      <w:snapToGrid w:val="0"/>
      <w:sz w:val="32"/>
    </w:rPr>
  </w:style>
  <w:style w:type="character" w:customStyle="1" w:styleId="16">
    <w:name w:val="批注框文本 Char"/>
    <w:basedOn w:val="10"/>
    <w:link w:val="3"/>
    <w:semiHidden/>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0110&#20851;&#20110;&#35843;&#24230;&#12298;&#32676;&#20247;&#21453;&#26144;&#20013;&#35266;&#20849;&#24615;&#38382;&#39064;&#25972;&#25913;&#33853;&#23454;&#20998;&#24037;&#26041;&#26696;&#12299;&#33853;&#23454;&#24773;&#20917;&#30340;&#36890;&#30693;\&#20303;&#24314;&#23616;-2021&#24180;&#20840;&#24066;&#28385;&#24847;&#24230;&#35843;&#26597;&#32676;&#20247;&#21453;&#26144;&#38382;&#39064;&#25972;&#25913;&#24037;&#20316;&#21488;&#3613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年度共收到政府信息公开申请情况</a:t>
            </a:r>
            <a:endParaRPr lang="zh-CN" altLang="en-US"/>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'[住建局-2021年全市满意度调查群众反映问题整改工作台账.xls]Sheet1'!$F$11:$F$14</c:f>
              <c:strCache>
                <c:ptCount val="4"/>
                <c:pt idx="0">
                  <c:v>总数</c:v>
                </c:pt>
                <c:pt idx="1">
                  <c:v>公开</c:v>
                </c:pt>
                <c:pt idx="2">
                  <c:v>不存在</c:v>
                </c:pt>
                <c:pt idx="3">
                  <c:v>转下年度</c:v>
                </c:pt>
              </c:strCache>
            </c:strRef>
          </c:cat>
          <c:val>
            <c:numRef>
              <c:f>'[住建局-2021年全市满意度调查群众反映问题整改工作台账.xls]Sheet1'!$G$11:$G$14</c:f>
              <c:numCache>
                <c:formatCode>General</c:formatCode>
                <c:ptCount val="4"/>
                <c:pt idx="0">
                  <c:v>7</c:v>
                </c:pt>
                <c:pt idx="1">
                  <c:v>2</c:v>
                </c:pt>
                <c:pt idx="2">
                  <c:v>4</c:v>
                </c:pt>
                <c:pt idx="3">
                  <c:v>1</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601</Words>
  <Characters>3430</Characters>
  <Lines>28</Lines>
  <Paragraphs>8</Paragraphs>
  <TotalTime>80</TotalTime>
  <ScaleCrop>false</ScaleCrop>
  <LinksUpToDate>false</LinksUpToDate>
  <CharactersWithSpaces>4023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dcterms:modified xsi:type="dcterms:W3CDTF">2022-01-24T01:13:45Z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2F626E0BFA2E431980E527985118D0AD</vt:lpwstr>
  </property>
</Properties>
</file>