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CF1" w:rsidRDefault="00E509CF" w:rsidP="00ED3A65">
      <w:pPr>
        <w:autoSpaceDE/>
        <w:autoSpaceDN/>
        <w:snapToGrid/>
        <w:spacing w:line="560" w:lineRule="exact"/>
        <w:ind w:firstLine="0"/>
        <w:jc w:val="center"/>
        <w:rPr>
          <w:rFonts w:ascii="方正小标宋简体" w:eastAsia="方正小标宋简体" w:hAnsiTheme="minorHAnsi" w:cstheme="minorBidi" w:hint="eastAsia"/>
          <w:snapToGrid/>
          <w:kern w:val="2"/>
          <w:sz w:val="44"/>
          <w:szCs w:val="44"/>
        </w:rPr>
      </w:pPr>
      <w:r>
        <w:rPr>
          <w:rFonts w:ascii="方正小标宋简体" w:eastAsia="方正小标宋简体" w:hAnsiTheme="minorHAnsi" w:cstheme="minorBidi" w:hint="eastAsia"/>
          <w:snapToGrid/>
          <w:kern w:val="2"/>
          <w:sz w:val="44"/>
          <w:szCs w:val="44"/>
        </w:rPr>
        <w:t>高青县</w:t>
      </w:r>
      <w:r>
        <w:rPr>
          <w:rFonts w:ascii="方正小标宋简体" w:eastAsia="方正小标宋简体" w:hAnsiTheme="minorHAnsi" w:cstheme="minorBidi" w:hint="eastAsia"/>
          <w:snapToGrid/>
          <w:kern w:val="2"/>
          <w:sz w:val="44"/>
          <w:szCs w:val="44"/>
        </w:rPr>
        <w:t>综合行政执法</w:t>
      </w:r>
      <w:r>
        <w:rPr>
          <w:rFonts w:ascii="方正小标宋简体" w:eastAsia="方正小标宋简体" w:hAnsiTheme="minorHAnsi" w:cstheme="minorBidi" w:hint="eastAsia"/>
          <w:snapToGrid/>
          <w:kern w:val="2"/>
          <w:sz w:val="44"/>
          <w:szCs w:val="44"/>
        </w:rPr>
        <w:t>局</w:t>
      </w:r>
    </w:p>
    <w:p w:rsidR="00D66989" w:rsidRDefault="00E509CF" w:rsidP="00ED3A65">
      <w:pPr>
        <w:autoSpaceDE/>
        <w:autoSpaceDN/>
        <w:snapToGrid/>
        <w:spacing w:line="560" w:lineRule="exact"/>
        <w:ind w:firstLine="0"/>
        <w:jc w:val="center"/>
        <w:rPr>
          <w:rFonts w:ascii="方正小标宋简体" w:eastAsia="方正小标宋简体" w:hAnsiTheme="minorHAnsi" w:cstheme="minorBidi"/>
          <w:snapToGrid/>
          <w:kern w:val="2"/>
          <w:sz w:val="44"/>
          <w:szCs w:val="44"/>
        </w:rPr>
      </w:pPr>
      <w:r>
        <w:rPr>
          <w:rFonts w:ascii="方正小标宋简体" w:eastAsia="方正小标宋简体" w:hAnsiTheme="minorHAnsi" w:cstheme="minorBidi" w:hint="eastAsia"/>
          <w:snapToGrid/>
          <w:kern w:val="2"/>
          <w:sz w:val="44"/>
          <w:szCs w:val="44"/>
        </w:rPr>
        <w:t>2022</w:t>
      </w:r>
      <w:r>
        <w:rPr>
          <w:rFonts w:ascii="方正小标宋简体" w:eastAsia="方正小标宋简体" w:hAnsiTheme="minorHAnsi" w:cstheme="minorBidi" w:hint="eastAsia"/>
          <w:snapToGrid/>
          <w:kern w:val="2"/>
          <w:sz w:val="44"/>
          <w:szCs w:val="44"/>
        </w:rPr>
        <w:t>年政府信息公开工作年度报告</w:t>
      </w:r>
    </w:p>
    <w:p w:rsidR="00D66989" w:rsidRDefault="00D66989" w:rsidP="00ED3A65">
      <w:pPr>
        <w:spacing w:line="560" w:lineRule="exact"/>
        <w:ind w:firstLineChars="200" w:firstLine="640"/>
        <w:rPr>
          <w:rFonts w:ascii="仿宋_GB2312" w:eastAsia="仿宋_GB2312"/>
        </w:rPr>
      </w:pPr>
    </w:p>
    <w:p w:rsidR="00D66989" w:rsidRDefault="00E509CF" w:rsidP="00ED3A65">
      <w:pPr>
        <w:spacing w:line="560" w:lineRule="exact"/>
        <w:ind w:firstLineChars="200" w:firstLine="640"/>
        <w:rPr>
          <w:rFonts w:ascii="仿宋_GB2312" w:eastAsia="仿宋_GB2312"/>
        </w:rPr>
      </w:pPr>
      <w:r>
        <w:rPr>
          <w:rFonts w:ascii="仿宋_GB2312" w:eastAsia="仿宋_GB2312" w:hint="eastAsia"/>
        </w:rPr>
        <w:t>本报告根据《中华人民共和国政府信息公开条例》（国务院令第</w:t>
      </w:r>
      <w:r>
        <w:rPr>
          <w:rFonts w:ascii="仿宋_GB2312" w:eastAsia="仿宋_GB2312" w:hint="eastAsia"/>
        </w:rPr>
        <w:t>711</w:t>
      </w:r>
      <w:r>
        <w:rPr>
          <w:rFonts w:ascii="仿宋_GB2312" w:eastAsia="仿宋_GB2312" w:hint="eastAsia"/>
        </w:rPr>
        <w:t>号，以下简称《条例》）和《国务院办公厅政府信息与政务公开办公室关于印发</w:t>
      </w:r>
      <w:r>
        <w:rPr>
          <w:rFonts w:ascii="仿宋_GB2312" w:eastAsia="仿宋_GB2312" w:hint="eastAsia"/>
        </w:rPr>
        <w:t>&lt;</w:t>
      </w:r>
      <w:r>
        <w:rPr>
          <w:rFonts w:ascii="仿宋_GB2312" w:eastAsia="仿宋_GB2312" w:hint="eastAsia"/>
        </w:rPr>
        <w:t>中华人民共和国政府信息公开工作年度报告格式</w:t>
      </w:r>
      <w:r>
        <w:rPr>
          <w:rFonts w:ascii="仿宋_GB2312" w:eastAsia="仿宋_GB2312" w:hint="eastAsia"/>
        </w:rPr>
        <w:t>&gt;</w:t>
      </w:r>
      <w:r>
        <w:rPr>
          <w:rFonts w:ascii="仿宋_GB2312" w:eastAsia="仿宋_GB2312" w:hint="eastAsia"/>
        </w:rPr>
        <w:t>的通知》（国办公开办函〔</w:t>
      </w:r>
      <w:r>
        <w:rPr>
          <w:rFonts w:ascii="仿宋_GB2312" w:eastAsia="仿宋_GB2312" w:hint="eastAsia"/>
        </w:rPr>
        <w:t>2021</w:t>
      </w:r>
      <w:r>
        <w:rPr>
          <w:rFonts w:ascii="仿宋_GB2312" w:eastAsia="仿宋_GB2312" w:hint="eastAsia"/>
        </w:rPr>
        <w:t>〕</w:t>
      </w:r>
      <w:r>
        <w:rPr>
          <w:rFonts w:ascii="仿宋_GB2312" w:eastAsia="仿宋_GB2312" w:hint="eastAsia"/>
        </w:rPr>
        <w:t>30</w:t>
      </w:r>
      <w:r>
        <w:rPr>
          <w:rFonts w:ascii="仿宋_GB2312" w:eastAsia="仿宋_GB2312" w:hint="eastAsia"/>
        </w:rPr>
        <w:t>号）相关要求编制。报告全文</w:t>
      </w:r>
      <w:proofErr w:type="gramStart"/>
      <w:r>
        <w:rPr>
          <w:rFonts w:ascii="仿宋_GB2312" w:eastAsia="仿宋_GB2312" w:hint="eastAsia"/>
        </w:rPr>
        <w:t>分总体</w:t>
      </w:r>
      <w:proofErr w:type="gramEnd"/>
      <w:r>
        <w:rPr>
          <w:rFonts w:ascii="仿宋_GB2312" w:eastAsia="仿宋_GB2312" w:hint="eastAsia"/>
        </w:rPr>
        <w:t>情况、主动公开政府信息情况、收到和处理政府信息公开申请情况、政府信息公开行政复议和行政诉讼情况、存在的主要问题及改进情况、其他需要报告的事项</w:t>
      </w:r>
      <w:r>
        <w:rPr>
          <w:rFonts w:ascii="仿宋_GB2312" w:eastAsia="仿宋_GB2312" w:hint="eastAsia"/>
        </w:rPr>
        <w:t>6</w:t>
      </w:r>
      <w:r>
        <w:rPr>
          <w:rFonts w:ascii="仿宋_GB2312" w:eastAsia="仿宋_GB2312" w:hint="eastAsia"/>
        </w:rPr>
        <w:t>个部分。</w:t>
      </w:r>
    </w:p>
    <w:p w:rsidR="00D66989" w:rsidRDefault="00E509CF" w:rsidP="00ED3A65">
      <w:pPr>
        <w:spacing w:line="560" w:lineRule="exact"/>
        <w:ind w:firstLineChars="200" w:firstLine="640"/>
        <w:rPr>
          <w:rFonts w:ascii="仿宋_GB2312" w:eastAsia="仿宋_GB2312"/>
        </w:rPr>
      </w:pPr>
      <w:r>
        <w:rPr>
          <w:rFonts w:ascii="仿宋_GB2312" w:eastAsia="仿宋_GB2312" w:hint="eastAsia"/>
        </w:rPr>
        <w:t>报告中所列数据统计期限自</w:t>
      </w:r>
      <w:r>
        <w:rPr>
          <w:rFonts w:ascii="仿宋_GB2312" w:eastAsia="仿宋_GB2312" w:hint="eastAsia"/>
        </w:rPr>
        <w:t>2022</w:t>
      </w:r>
      <w:r>
        <w:rPr>
          <w:rFonts w:ascii="仿宋_GB2312" w:eastAsia="仿宋_GB2312" w:hint="eastAsia"/>
        </w:rPr>
        <w:t>年</w:t>
      </w:r>
      <w:r>
        <w:rPr>
          <w:rFonts w:ascii="仿宋_GB2312" w:eastAsia="仿宋_GB2312" w:hint="eastAsia"/>
        </w:rPr>
        <w:t>1</w:t>
      </w:r>
      <w:r>
        <w:rPr>
          <w:rFonts w:ascii="仿宋_GB2312" w:eastAsia="仿宋_GB2312" w:hint="eastAsia"/>
        </w:rPr>
        <w:t>月</w:t>
      </w:r>
      <w:r>
        <w:rPr>
          <w:rFonts w:ascii="仿宋_GB2312" w:eastAsia="仿宋_GB2312" w:hint="eastAsia"/>
        </w:rPr>
        <w:t>1</w:t>
      </w:r>
      <w:r>
        <w:rPr>
          <w:rFonts w:ascii="仿宋_GB2312" w:eastAsia="仿宋_GB2312" w:hint="eastAsia"/>
        </w:rPr>
        <w:t>日始，至</w:t>
      </w:r>
      <w:r>
        <w:rPr>
          <w:rFonts w:ascii="仿宋_GB2312" w:eastAsia="仿宋_GB2312" w:hint="eastAsia"/>
        </w:rPr>
        <w:t>2022</w:t>
      </w:r>
      <w:r>
        <w:rPr>
          <w:rFonts w:ascii="仿宋_GB2312" w:eastAsia="仿宋_GB2312" w:hint="eastAsia"/>
        </w:rPr>
        <w:t>年</w:t>
      </w:r>
      <w:r>
        <w:rPr>
          <w:rFonts w:ascii="仿宋_GB2312" w:eastAsia="仿宋_GB2312" w:hint="eastAsia"/>
        </w:rPr>
        <w:t>12</w:t>
      </w:r>
      <w:r>
        <w:rPr>
          <w:rFonts w:ascii="仿宋_GB2312" w:eastAsia="仿宋_GB2312" w:hint="eastAsia"/>
        </w:rPr>
        <w:t>月</w:t>
      </w:r>
      <w:r>
        <w:rPr>
          <w:rFonts w:ascii="仿宋_GB2312" w:eastAsia="仿宋_GB2312" w:hint="eastAsia"/>
        </w:rPr>
        <w:t>31</w:t>
      </w:r>
      <w:r>
        <w:rPr>
          <w:rFonts w:ascii="仿宋_GB2312" w:eastAsia="仿宋_GB2312" w:hint="eastAsia"/>
        </w:rPr>
        <w:t>日止。报告电子版可在高青县人民政府门户网站（</w:t>
      </w:r>
      <w:r>
        <w:rPr>
          <w:rFonts w:ascii="仿宋_GB2312" w:eastAsia="仿宋_GB2312" w:hint="eastAsia"/>
        </w:rPr>
        <w:t>www.gaoqing.gov.cn</w:t>
      </w:r>
      <w:r>
        <w:rPr>
          <w:rFonts w:ascii="仿宋_GB2312" w:eastAsia="仿宋_GB2312" w:hint="eastAsia"/>
        </w:rPr>
        <w:t>）查阅和下载。如对报告内容有疑问，请与高青县</w:t>
      </w:r>
      <w:r w:rsidR="00AD7D4A" w:rsidRPr="00AD7D4A">
        <w:rPr>
          <w:rFonts w:ascii="仿宋_GB2312" w:eastAsia="仿宋_GB2312" w:hint="eastAsia"/>
        </w:rPr>
        <w:t>综合行政执法局</w:t>
      </w:r>
      <w:r>
        <w:rPr>
          <w:rFonts w:ascii="仿宋_GB2312" w:eastAsia="仿宋_GB2312" w:hint="eastAsia"/>
        </w:rPr>
        <w:t>办公室联系（地址：山东省淄博市高青</w:t>
      </w:r>
      <w:proofErr w:type="gramStart"/>
      <w:r>
        <w:rPr>
          <w:rFonts w:ascii="仿宋_GB2312" w:eastAsia="仿宋_GB2312" w:hint="eastAsia"/>
        </w:rPr>
        <w:t>县</w:t>
      </w:r>
      <w:r>
        <w:rPr>
          <w:rFonts w:ascii="仿宋_GB2312" w:eastAsia="仿宋_GB2312" w:hint="eastAsia"/>
        </w:rPr>
        <w:t>青苑</w:t>
      </w:r>
      <w:r>
        <w:rPr>
          <w:rFonts w:ascii="仿宋_GB2312" w:eastAsia="仿宋_GB2312" w:hint="eastAsia"/>
        </w:rPr>
        <w:t>路</w:t>
      </w:r>
      <w:proofErr w:type="gramEnd"/>
      <w:r>
        <w:rPr>
          <w:rFonts w:ascii="仿宋_GB2312" w:eastAsia="仿宋_GB2312" w:hint="eastAsia"/>
        </w:rPr>
        <w:t>39</w:t>
      </w:r>
      <w:r>
        <w:rPr>
          <w:rFonts w:ascii="仿宋_GB2312" w:eastAsia="仿宋_GB2312" w:hint="eastAsia"/>
        </w:rPr>
        <w:t>号；邮编：</w:t>
      </w:r>
      <w:r>
        <w:rPr>
          <w:rFonts w:ascii="仿宋_GB2312" w:eastAsia="仿宋_GB2312" w:hint="eastAsia"/>
        </w:rPr>
        <w:t>256300</w:t>
      </w:r>
      <w:r>
        <w:rPr>
          <w:rFonts w:ascii="仿宋_GB2312" w:eastAsia="仿宋_GB2312" w:hint="eastAsia"/>
        </w:rPr>
        <w:t>；电话：</w:t>
      </w:r>
      <w:r>
        <w:rPr>
          <w:rFonts w:ascii="仿宋_GB2312" w:eastAsia="仿宋_GB2312" w:hint="eastAsia"/>
        </w:rPr>
        <w:t>0533-6983603</w:t>
      </w:r>
      <w:r>
        <w:rPr>
          <w:rFonts w:ascii="仿宋_GB2312" w:eastAsia="仿宋_GB2312" w:hint="eastAsia"/>
        </w:rPr>
        <w:t>；传真：</w:t>
      </w:r>
      <w:r>
        <w:rPr>
          <w:rFonts w:ascii="仿宋_GB2312" w:eastAsia="仿宋_GB2312" w:hint="eastAsia"/>
        </w:rPr>
        <w:t>0533-6983603</w:t>
      </w:r>
      <w:r>
        <w:rPr>
          <w:rFonts w:ascii="仿宋_GB2312" w:eastAsia="仿宋_GB2312" w:hint="eastAsia"/>
        </w:rPr>
        <w:t>；电子邮箱：</w:t>
      </w:r>
      <w:r>
        <w:rPr>
          <w:rFonts w:ascii="仿宋_GB2312" w:eastAsia="仿宋_GB2312" w:hint="eastAsia"/>
        </w:rPr>
        <w:t>gqxzfj@zb.shandong.cn</w:t>
      </w:r>
      <w:r>
        <w:rPr>
          <w:rFonts w:ascii="仿宋_GB2312" w:eastAsia="仿宋_GB2312" w:hint="eastAsia"/>
        </w:rPr>
        <w:t>）。</w:t>
      </w:r>
    </w:p>
    <w:p w:rsidR="00D66989" w:rsidRDefault="00E509CF" w:rsidP="00ED3A65">
      <w:pPr>
        <w:spacing w:line="560" w:lineRule="exact"/>
        <w:ind w:firstLineChars="200" w:firstLine="640"/>
        <w:rPr>
          <w:rFonts w:ascii="黑体" w:eastAsia="黑体" w:hAnsi="黑体"/>
          <w:szCs w:val="32"/>
        </w:rPr>
      </w:pPr>
      <w:r>
        <w:rPr>
          <w:rFonts w:ascii="黑体" w:eastAsia="黑体" w:hAnsi="黑体" w:hint="eastAsia"/>
          <w:szCs w:val="32"/>
        </w:rPr>
        <w:t>一、总体情况</w:t>
      </w:r>
    </w:p>
    <w:p w:rsidR="00D66989" w:rsidRDefault="00E509CF" w:rsidP="00ED3A65">
      <w:pPr>
        <w:spacing w:line="560" w:lineRule="exact"/>
        <w:ind w:firstLineChars="200" w:firstLine="640"/>
        <w:rPr>
          <w:rFonts w:ascii="仿宋_GB2312" w:eastAsia="仿宋_GB2312"/>
        </w:rPr>
      </w:pPr>
      <w:r>
        <w:rPr>
          <w:rFonts w:ascii="仿宋_GB2312" w:eastAsia="仿宋_GB2312" w:hint="eastAsia"/>
        </w:rPr>
        <w:t>2022</w:t>
      </w:r>
      <w:r>
        <w:rPr>
          <w:rFonts w:ascii="仿宋_GB2312" w:eastAsia="仿宋_GB2312" w:hint="eastAsia"/>
        </w:rPr>
        <w:t>年，高青县</w:t>
      </w:r>
      <w:r>
        <w:rPr>
          <w:rFonts w:ascii="仿宋_GB2312" w:eastAsia="仿宋_GB2312" w:hint="eastAsia"/>
        </w:rPr>
        <w:t>综合行政执法</w:t>
      </w:r>
      <w:r>
        <w:rPr>
          <w:rFonts w:ascii="仿宋_GB2312" w:eastAsia="仿宋_GB2312" w:hint="eastAsia"/>
        </w:rPr>
        <w:t>局坚持以习近平新时代中国特色社会主义思想为指导，认真落实国家和省市县政务公开工</w:t>
      </w:r>
      <w:r>
        <w:rPr>
          <w:rFonts w:ascii="仿宋_GB2312" w:eastAsia="仿宋_GB2312" w:hint="eastAsia"/>
        </w:rPr>
        <w:t>作部署，</w:t>
      </w:r>
      <w:r>
        <w:rPr>
          <w:rFonts w:ascii="仿宋_GB2312" w:eastAsia="仿宋_GB2312" w:hint="eastAsia"/>
        </w:rPr>
        <w:t>不断</w:t>
      </w:r>
      <w:r>
        <w:rPr>
          <w:rFonts w:ascii="仿宋_GB2312" w:eastAsia="仿宋_GB2312" w:hint="eastAsia"/>
        </w:rPr>
        <w:t>增强信息公开的规范性和主动性，增强城市管理工作的透明度，保障人民群众的知情权，主动接受人民群众的监督。</w:t>
      </w:r>
    </w:p>
    <w:p w:rsidR="00D66989" w:rsidRDefault="00E509CF" w:rsidP="00ED3A65">
      <w:pPr>
        <w:spacing w:line="560" w:lineRule="exact"/>
        <w:ind w:firstLineChars="200" w:firstLine="640"/>
        <w:rPr>
          <w:rFonts w:ascii="楷体_GB2312" w:eastAsia="楷体_GB2312"/>
          <w:szCs w:val="32"/>
        </w:rPr>
      </w:pPr>
      <w:r>
        <w:rPr>
          <w:rFonts w:ascii="楷体_GB2312" w:eastAsia="楷体_GB2312" w:hint="eastAsia"/>
          <w:szCs w:val="32"/>
        </w:rPr>
        <w:t>（一）主动公开</w:t>
      </w:r>
    </w:p>
    <w:p w:rsidR="00ED3A65" w:rsidRDefault="00E509CF" w:rsidP="00ED3A65">
      <w:pPr>
        <w:spacing w:line="560" w:lineRule="exact"/>
        <w:ind w:firstLineChars="200" w:firstLine="640"/>
        <w:rPr>
          <w:rFonts w:ascii="仿宋_GB2312" w:eastAsia="仿宋_GB2312" w:hint="eastAsia"/>
        </w:rPr>
      </w:pPr>
      <w:r>
        <w:rPr>
          <w:rFonts w:ascii="仿宋_GB2312" w:eastAsia="仿宋_GB2312" w:hint="eastAsia"/>
        </w:rPr>
        <w:lastRenderedPageBreak/>
        <w:t>进一步完善</w:t>
      </w:r>
      <w:r>
        <w:rPr>
          <w:rFonts w:ascii="仿宋_GB2312" w:eastAsia="仿宋_GB2312" w:hint="eastAsia"/>
        </w:rPr>
        <w:t>政务公开各项制度，</w:t>
      </w:r>
      <w:r w:rsidR="00ED3A65">
        <w:rPr>
          <w:rFonts w:ascii="仿宋_GB2312" w:eastAsia="仿宋_GB2312" w:hint="eastAsia"/>
        </w:rPr>
        <w:t>制定《</w:t>
      </w:r>
      <w:r w:rsidR="00ED3A65" w:rsidRPr="00ED3A65">
        <w:rPr>
          <w:rFonts w:ascii="仿宋_GB2312" w:eastAsia="仿宋_GB2312" w:hint="eastAsia"/>
        </w:rPr>
        <w:t>高青县综合行政执法局2022年</w:t>
      </w:r>
      <w:r w:rsidR="00ED3A65">
        <w:rPr>
          <w:rFonts w:ascii="仿宋_GB2312" w:eastAsia="仿宋_GB2312" w:hint="eastAsia"/>
        </w:rPr>
        <w:t>政务公开工作实施方案》，推动政务公开标准化规范化开展。</w:t>
      </w:r>
      <w:r>
        <w:rPr>
          <w:rFonts w:ascii="仿宋_GB2312" w:eastAsia="仿宋_GB2312" w:hint="eastAsia"/>
        </w:rPr>
        <w:t>2022</w:t>
      </w:r>
      <w:r>
        <w:rPr>
          <w:rFonts w:ascii="仿宋_GB2312" w:eastAsia="仿宋_GB2312" w:hint="eastAsia"/>
        </w:rPr>
        <w:t>年</w:t>
      </w:r>
      <w:r>
        <w:rPr>
          <w:rFonts w:ascii="仿宋_GB2312" w:eastAsia="仿宋_GB2312" w:hint="eastAsia"/>
        </w:rPr>
        <w:t>通过县政府</w:t>
      </w:r>
      <w:r w:rsidR="00ED3A65">
        <w:rPr>
          <w:rFonts w:ascii="仿宋_GB2312" w:eastAsia="仿宋_GB2312" w:hint="eastAsia"/>
        </w:rPr>
        <w:t>门户</w:t>
      </w:r>
      <w:r>
        <w:rPr>
          <w:rFonts w:ascii="仿宋_GB2312" w:eastAsia="仿宋_GB2312" w:hint="eastAsia"/>
        </w:rPr>
        <w:t>网站、市县各级媒体、“高青县综合行政执法局”</w:t>
      </w:r>
      <w:proofErr w:type="gramStart"/>
      <w:r>
        <w:rPr>
          <w:rFonts w:ascii="仿宋_GB2312" w:eastAsia="仿宋_GB2312" w:hint="eastAsia"/>
        </w:rPr>
        <w:t>微信公众号</w:t>
      </w:r>
      <w:proofErr w:type="gramEnd"/>
      <w:r>
        <w:rPr>
          <w:rFonts w:ascii="仿宋_GB2312" w:eastAsia="仿宋_GB2312" w:hint="eastAsia"/>
        </w:rPr>
        <w:t>等平台发布信息</w:t>
      </w:r>
      <w:r>
        <w:rPr>
          <w:rFonts w:ascii="仿宋_GB2312" w:eastAsia="仿宋_GB2312" w:hint="eastAsia"/>
        </w:rPr>
        <w:t>275</w:t>
      </w:r>
      <w:r>
        <w:rPr>
          <w:rFonts w:ascii="仿宋_GB2312" w:eastAsia="仿宋_GB2312" w:hint="eastAsia"/>
        </w:rPr>
        <w:t>篇，比</w:t>
      </w:r>
      <w:r>
        <w:rPr>
          <w:rFonts w:ascii="仿宋_GB2312" w:eastAsia="仿宋_GB2312" w:hint="eastAsia"/>
        </w:rPr>
        <w:t>2021</w:t>
      </w:r>
      <w:r>
        <w:rPr>
          <w:rFonts w:ascii="仿宋_GB2312" w:eastAsia="仿宋_GB2312" w:hint="eastAsia"/>
        </w:rPr>
        <w:t>年增加</w:t>
      </w:r>
      <w:r>
        <w:rPr>
          <w:rFonts w:ascii="仿宋_GB2312" w:eastAsia="仿宋_GB2312" w:hint="eastAsia"/>
        </w:rPr>
        <w:t>62</w:t>
      </w:r>
      <w:r>
        <w:rPr>
          <w:rFonts w:ascii="仿宋_GB2312" w:eastAsia="仿宋_GB2312" w:hint="eastAsia"/>
        </w:rPr>
        <w:t>条。</w:t>
      </w:r>
      <w:r>
        <w:rPr>
          <w:rFonts w:ascii="仿宋_GB2312" w:eastAsia="仿宋_GB2312" w:hint="eastAsia"/>
        </w:rPr>
        <w:t>坚持</w:t>
      </w:r>
      <w:r w:rsidR="00ED3A65">
        <w:rPr>
          <w:rFonts w:ascii="仿宋_GB2312" w:eastAsia="仿宋_GB2312" w:hint="eastAsia"/>
        </w:rPr>
        <w:t>政策性文件与解读材料同步组织、同步审签、同步部署，</w:t>
      </w:r>
      <w:r>
        <w:rPr>
          <w:rFonts w:ascii="仿宋_GB2312" w:eastAsia="仿宋_GB2312" w:hint="eastAsia"/>
        </w:rPr>
        <w:t>2022</w:t>
      </w:r>
      <w:r>
        <w:rPr>
          <w:rFonts w:ascii="仿宋_GB2312" w:eastAsia="仿宋_GB2312" w:hint="eastAsia"/>
        </w:rPr>
        <w:t>年共发布</w:t>
      </w:r>
      <w:r>
        <w:rPr>
          <w:rFonts w:ascii="仿宋_GB2312" w:eastAsia="仿宋_GB2312" w:hint="eastAsia"/>
        </w:rPr>
        <w:t>4</w:t>
      </w:r>
      <w:r>
        <w:rPr>
          <w:rFonts w:ascii="仿宋_GB2312" w:eastAsia="仿宋_GB2312" w:hint="eastAsia"/>
        </w:rPr>
        <w:t>篇解读材料。</w:t>
      </w:r>
      <w:r w:rsidR="00ED3A65">
        <w:rPr>
          <w:rFonts w:ascii="仿宋_GB2312" w:eastAsia="仿宋_GB2312" w:hint="eastAsia"/>
        </w:rPr>
        <w:t>做好回应关切，对</w:t>
      </w:r>
      <w:r w:rsidR="00ED3A65">
        <w:rPr>
          <w:rFonts w:ascii="仿宋_GB2312" w:eastAsia="仿宋_GB2312" w:hint="eastAsia"/>
        </w:rPr>
        <w:t>市容市貌、噪音扰民</w:t>
      </w:r>
      <w:r w:rsidR="00ED3A65">
        <w:rPr>
          <w:rFonts w:ascii="仿宋_GB2312" w:eastAsia="仿宋_GB2312" w:hint="eastAsia"/>
        </w:rPr>
        <w:t>等15件政府信箱群众留言及时予以答复。</w:t>
      </w:r>
    </w:p>
    <w:p w:rsidR="00D66989" w:rsidRDefault="00E509CF">
      <w:pPr>
        <w:spacing w:line="240" w:lineRule="auto"/>
        <w:jc w:val="left"/>
        <w:rPr>
          <w:rFonts w:ascii="楷体_GB2312" w:eastAsia="楷体_GB2312"/>
        </w:rPr>
      </w:pPr>
      <w:r>
        <w:rPr>
          <w:rFonts w:ascii="楷体_GB2312" w:eastAsia="楷体_GB2312" w:hint="eastAsia"/>
          <w:noProof/>
        </w:rPr>
        <w:drawing>
          <wp:inline distT="0" distB="0" distL="114300" distR="114300">
            <wp:extent cx="2326640" cy="3929380"/>
            <wp:effectExtent l="0" t="0" r="16510" b="13970"/>
            <wp:docPr id="4" name="图片 4" descr="实施方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实施方案"/>
                    <pic:cNvPicPr>
                      <a:picLocks noChangeAspect="1"/>
                    </pic:cNvPicPr>
                  </pic:nvPicPr>
                  <pic:blipFill>
                    <a:blip r:embed="rId7"/>
                    <a:stretch>
                      <a:fillRect/>
                    </a:stretch>
                  </pic:blipFill>
                  <pic:spPr>
                    <a:xfrm>
                      <a:off x="0" y="0"/>
                      <a:ext cx="2326640" cy="3929380"/>
                    </a:xfrm>
                    <a:prstGeom prst="rect">
                      <a:avLst/>
                    </a:prstGeom>
                  </pic:spPr>
                </pic:pic>
              </a:graphicData>
            </a:graphic>
          </wp:inline>
        </w:drawing>
      </w:r>
      <w:r>
        <w:rPr>
          <w:rFonts w:ascii="楷体_GB2312" w:eastAsia="楷体_GB2312" w:hint="eastAsia"/>
          <w:noProof/>
        </w:rPr>
        <w:drawing>
          <wp:inline distT="0" distB="0" distL="114300" distR="114300">
            <wp:extent cx="2255520" cy="3914775"/>
            <wp:effectExtent l="0" t="0" r="11430" b="9525"/>
            <wp:docPr id="3" name="图片 3" descr="微信图片_20230106093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30106093842"/>
                    <pic:cNvPicPr>
                      <a:picLocks noChangeAspect="1"/>
                    </pic:cNvPicPr>
                  </pic:nvPicPr>
                  <pic:blipFill>
                    <a:blip r:embed="rId8"/>
                    <a:stretch>
                      <a:fillRect/>
                    </a:stretch>
                  </pic:blipFill>
                  <pic:spPr>
                    <a:xfrm>
                      <a:off x="0" y="0"/>
                      <a:ext cx="2255520" cy="3914775"/>
                    </a:xfrm>
                    <a:prstGeom prst="rect">
                      <a:avLst/>
                    </a:prstGeom>
                  </pic:spPr>
                </pic:pic>
              </a:graphicData>
            </a:graphic>
          </wp:inline>
        </w:drawing>
      </w:r>
    </w:p>
    <w:p w:rsidR="00D66989" w:rsidRDefault="00E509CF" w:rsidP="00ED3A65">
      <w:pPr>
        <w:spacing w:line="560" w:lineRule="exact"/>
        <w:ind w:firstLineChars="200" w:firstLine="640"/>
        <w:rPr>
          <w:rFonts w:ascii="楷体_GB2312" w:eastAsia="楷体_GB2312"/>
          <w:szCs w:val="32"/>
        </w:rPr>
      </w:pPr>
      <w:r>
        <w:rPr>
          <w:rFonts w:ascii="楷体_GB2312" w:eastAsia="楷体_GB2312" w:hint="eastAsia"/>
          <w:szCs w:val="32"/>
        </w:rPr>
        <w:t>（二）依申请公开</w:t>
      </w:r>
    </w:p>
    <w:p w:rsidR="00D66989" w:rsidRDefault="00E509CF" w:rsidP="00ED3A65">
      <w:pPr>
        <w:spacing w:line="560" w:lineRule="exact"/>
        <w:ind w:firstLineChars="200" w:firstLine="640"/>
        <w:rPr>
          <w:rFonts w:ascii="仿宋_GB2312" w:eastAsia="仿宋_GB2312" w:hint="eastAsia"/>
        </w:rPr>
      </w:pPr>
      <w:r>
        <w:rPr>
          <w:rFonts w:ascii="仿宋_GB2312" w:eastAsia="仿宋_GB2312" w:hint="eastAsia"/>
        </w:rPr>
        <w:t>2022</w:t>
      </w:r>
      <w:r>
        <w:rPr>
          <w:rFonts w:ascii="仿宋_GB2312" w:eastAsia="仿宋_GB2312" w:hint="eastAsia"/>
        </w:rPr>
        <w:t>年</w:t>
      </w:r>
      <w:r>
        <w:rPr>
          <w:rFonts w:ascii="仿宋_GB2312" w:eastAsia="仿宋_GB2312" w:hint="eastAsia"/>
        </w:rPr>
        <w:t>本机关共收到政府信息公开申请</w:t>
      </w:r>
      <w:r w:rsidR="00AD7D4A">
        <w:rPr>
          <w:rFonts w:ascii="仿宋_GB2312" w:eastAsia="仿宋_GB2312" w:hint="eastAsia"/>
        </w:rPr>
        <w:t>4</w:t>
      </w:r>
      <w:r>
        <w:rPr>
          <w:rFonts w:ascii="仿宋_GB2312" w:eastAsia="仿宋_GB2312" w:hint="eastAsia"/>
        </w:rPr>
        <w:t>件，</w:t>
      </w:r>
      <w:r>
        <w:rPr>
          <w:rFonts w:ascii="仿宋_GB2312" w:eastAsia="仿宋_GB2312" w:hint="eastAsia"/>
        </w:rPr>
        <w:t>上年度结转</w:t>
      </w:r>
      <w:r>
        <w:rPr>
          <w:rFonts w:ascii="仿宋_GB2312" w:eastAsia="仿宋_GB2312" w:hint="eastAsia"/>
        </w:rPr>
        <w:t>0</w:t>
      </w:r>
      <w:r>
        <w:rPr>
          <w:rFonts w:ascii="仿宋_GB2312" w:eastAsia="仿宋_GB2312" w:hint="eastAsia"/>
        </w:rPr>
        <w:t>件。申请内容主要集中在</w:t>
      </w:r>
      <w:r>
        <w:rPr>
          <w:rFonts w:ascii="仿宋_GB2312" w:eastAsia="仿宋_GB2312" w:hint="eastAsia"/>
        </w:rPr>
        <w:t>城乡规划</w:t>
      </w:r>
      <w:r>
        <w:rPr>
          <w:rFonts w:ascii="仿宋_GB2312" w:eastAsia="仿宋_GB2312" w:hint="eastAsia"/>
        </w:rPr>
        <w:t>等领域。共</w:t>
      </w:r>
      <w:proofErr w:type="gramStart"/>
      <w:r>
        <w:rPr>
          <w:rFonts w:ascii="仿宋_GB2312" w:eastAsia="仿宋_GB2312" w:hint="eastAsia"/>
        </w:rPr>
        <w:t>作出</w:t>
      </w:r>
      <w:proofErr w:type="gramEnd"/>
      <w:r>
        <w:rPr>
          <w:rFonts w:ascii="仿宋_GB2312" w:eastAsia="仿宋_GB2312" w:hint="eastAsia"/>
        </w:rPr>
        <w:t>政府信息公开申请答复</w:t>
      </w:r>
      <w:r w:rsidR="00AD7D4A">
        <w:rPr>
          <w:rFonts w:ascii="仿宋_GB2312" w:eastAsia="仿宋_GB2312" w:hint="eastAsia"/>
        </w:rPr>
        <w:t>4</w:t>
      </w:r>
      <w:r>
        <w:rPr>
          <w:rFonts w:ascii="仿宋_GB2312" w:eastAsia="仿宋_GB2312" w:hint="eastAsia"/>
        </w:rPr>
        <w:t>件</w:t>
      </w:r>
      <w:r>
        <w:rPr>
          <w:rFonts w:ascii="仿宋_GB2312" w:eastAsia="仿宋_GB2312" w:hint="eastAsia"/>
        </w:rPr>
        <w:t>，其中予以公开</w:t>
      </w:r>
      <w:r>
        <w:rPr>
          <w:rFonts w:ascii="仿宋_GB2312" w:eastAsia="仿宋_GB2312" w:hint="eastAsia"/>
        </w:rPr>
        <w:t>1</w:t>
      </w:r>
      <w:r>
        <w:rPr>
          <w:rFonts w:ascii="仿宋_GB2312" w:eastAsia="仿宋_GB2312" w:hint="eastAsia"/>
        </w:rPr>
        <w:t>件、无法提供</w:t>
      </w:r>
      <w:r w:rsidR="00AD7D4A">
        <w:rPr>
          <w:rFonts w:ascii="仿宋_GB2312" w:eastAsia="仿宋_GB2312" w:hint="eastAsia"/>
        </w:rPr>
        <w:t>3</w:t>
      </w:r>
      <w:r>
        <w:rPr>
          <w:rFonts w:ascii="仿宋_GB2312" w:eastAsia="仿宋_GB2312" w:hint="eastAsia"/>
        </w:rPr>
        <w:t>件。</w:t>
      </w:r>
      <w:r w:rsidR="00AD7D4A">
        <w:rPr>
          <w:rFonts w:ascii="仿宋_GB2312" w:eastAsia="仿宋_GB2312" w:hint="eastAsia"/>
        </w:rPr>
        <w:t>无</w:t>
      </w:r>
      <w:r>
        <w:rPr>
          <w:rFonts w:ascii="仿宋_GB2312" w:eastAsia="仿宋_GB2312" w:hint="eastAsia"/>
        </w:rPr>
        <w:t>结转下年度继续办理</w:t>
      </w:r>
      <w:r>
        <w:rPr>
          <w:rFonts w:ascii="仿宋_GB2312" w:eastAsia="仿宋_GB2312" w:hint="eastAsia"/>
        </w:rPr>
        <w:t>件。</w:t>
      </w:r>
      <w:r>
        <w:rPr>
          <w:rFonts w:ascii="仿宋_GB2312" w:eastAsia="仿宋_GB2312" w:hint="eastAsia"/>
        </w:rPr>
        <w:t>本机关依申请公开政府信息未收</w:t>
      </w:r>
      <w:r>
        <w:rPr>
          <w:rFonts w:ascii="仿宋_GB2312" w:eastAsia="仿宋_GB2312" w:hint="eastAsia"/>
        </w:rPr>
        <w:lastRenderedPageBreak/>
        <w:t>取任何费用，未因政府信息公开被申请行政复议、提起行政诉讼。</w:t>
      </w:r>
    </w:p>
    <w:p w:rsidR="00D66989" w:rsidRDefault="00E509CF" w:rsidP="00ED3A65">
      <w:pPr>
        <w:spacing w:line="560" w:lineRule="exact"/>
        <w:ind w:firstLineChars="200" w:firstLine="640"/>
        <w:rPr>
          <w:rFonts w:ascii="楷体_GB2312" w:eastAsia="楷体_GB2312"/>
          <w:szCs w:val="32"/>
        </w:rPr>
      </w:pPr>
      <w:r>
        <w:rPr>
          <w:rFonts w:ascii="楷体_GB2312" w:eastAsia="楷体_GB2312" w:hint="eastAsia"/>
          <w:szCs w:val="32"/>
        </w:rPr>
        <w:t>（三）政府信息管理</w:t>
      </w:r>
    </w:p>
    <w:p w:rsidR="00ED3A65" w:rsidRDefault="00E509CF" w:rsidP="00ED3A65">
      <w:pPr>
        <w:spacing w:line="560" w:lineRule="exact"/>
        <w:ind w:firstLineChars="200" w:firstLine="640"/>
        <w:rPr>
          <w:rFonts w:ascii="仿宋_GB2312" w:eastAsia="仿宋_GB2312" w:hint="eastAsia"/>
        </w:rPr>
      </w:pPr>
      <w:r>
        <w:rPr>
          <w:rFonts w:ascii="仿宋_GB2312" w:eastAsia="仿宋_GB2312" w:hint="eastAsia"/>
        </w:rPr>
        <w:t>根据信息公开工作要求，制定了主动公开制度、依申请公开制度及保密审查制度等相关制度。按照“合法、全面、准确、及时”的要求及时进行动态更新调整，确保法规、政策和相关信息能够及时主动、真实准确公开。</w:t>
      </w:r>
      <w:r w:rsidR="00ED3A65">
        <w:rPr>
          <w:rFonts w:ascii="仿宋_GB2312" w:eastAsia="仿宋_GB2312" w:hint="eastAsia"/>
        </w:rPr>
        <w:t>修编《</w:t>
      </w:r>
      <w:r w:rsidR="00ED3A65" w:rsidRPr="00ED3A65">
        <w:rPr>
          <w:rFonts w:ascii="仿宋_GB2312" w:eastAsia="仿宋_GB2312" w:hint="eastAsia"/>
        </w:rPr>
        <w:t>高青县综合行政执法局</w:t>
      </w:r>
      <w:r w:rsidR="00ED3A65">
        <w:rPr>
          <w:rFonts w:ascii="仿宋_GB2312" w:eastAsia="仿宋_GB2312" w:hint="eastAsia"/>
        </w:rPr>
        <w:t>政府信息主动公开基本目录》《</w:t>
      </w:r>
      <w:r w:rsidR="00ED3A65" w:rsidRPr="00ED3A65">
        <w:rPr>
          <w:rFonts w:ascii="仿宋_GB2312" w:eastAsia="仿宋_GB2312" w:hint="eastAsia"/>
        </w:rPr>
        <w:t>高青县综合行政执法局</w:t>
      </w:r>
      <w:r w:rsidR="00ED3A65">
        <w:rPr>
          <w:rFonts w:ascii="仿宋_GB2312" w:eastAsia="仿宋_GB2312" w:hint="eastAsia"/>
        </w:rPr>
        <w:t>政府信息</w:t>
      </w:r>
      <w:r w:rsidR="00ED3A65">
        <w:rPr>
          <w:rFonts w:ascii="仿宋_GB2312" w:eastAsia="仿宋_GB2312" w:hint="eastAsia"/>
        </w:rPr>
        <w:t>公开指南》，进一步规范政务公开工作。</w:t>
      </w:r>
    </w:p>
    <w:p w:rsidR="00D66989" w:rsidRDefault="00E509CF" w:rsidP="00ED3A65">
      <w:pPr>
        <w:spacing w:line="560" w:lineRule="exact"/>
        <w:jc w:val="left"/>
        <w:rPr>
          <w:rFonts w:ascii="楷体_GB2312" w:eastAsia="楷体_GB2312"/>
        </w:rPr>
      </w:pPr>
      <w:r>
        <w:rPr>
          <w:rFonts w:ascii="楷体_GB2312" w:eastAsia="楷体_GB2312" w:hint="eastAsia"/>
          <w:szCs w:val="32"/>
        </w:rPr>
        <w:t>（四）政府信息公开平台建设</w:t>
      </w:r>
    </w:p>
    <w:p w:rsidR="00ED3A65" w:rsidRDefault="00E509CF" w:rsidP="00ED3A65">
      <w:pPr>
        <w:spacing w:line="560" w:lineRule="exact"/>
        <w:ind w:firstLineChars="200" w:firstLine="640"/>
        <w:rPr>
          <w:rFonts w:ascii="仿宋_GB2312" w:eastAsia="仿宋_GB2312" w:hint="eastAsia"/>
        </w:rPr>
      </w:pPr>
      <w:r>
        <w:rPr>
          <w:rFonts w:ascii="仿宋_GB2312" w:eastAsia="仿宋_GB2312" w:hint="eastAsia"/>
        </w:rPr>
        <w:t>在县政府</w:t>
      </w:r>
      <w:r w:rsidR="00ED3A65">
        <w:rPr>
          <w:rFonts w:ascii="仿宋_GB2312" w:eastAsia="仿宋_GB2312" w:hint="eastAsia"/>
        </w:rPr>
        <w:t>门户</w:t>
      </w:r>
      <w:r>
        <w:rPr>
          <w:rFonts w:ascii="仿宋_GB2312" w:eastAsia="仿宋_GB2312" w:hint="eastAsia"/>
        </w:rPr>
        <w:t>网站</w:t>
      </w:r>
      <w:r w:rsidR="00ED3A65">
        <w:rPr>
          <w:rFonts w:ascii="仿宋_GB2312" w:eastAsia="仿宋_GB2312" w:hint="eastAsia"/>
        </w:rPr>
        <w:t>开展“市政管理”“行政执法”专栏，</w:t>
      </w:r>
      <w:r w:rsidR="00ED3A65">
        <w:rPr>
          <w:rFonts w:ascii="仿宋_GB2312" w:eastAsia="仿宋_GB2312" w:hint="eastAsia"/>
        </w:rPr>
        <w:t>按照“内容准确、发布规范、更新及时”的要求，安排专人加强日常监管和维护，做好信息发布审核工作</w:t>
      </w:r>
      <w:r w:rsidR="00ED3A65">
        <w:rPr>
          <w:rFonts w:ascii="仿宋_GB2312" w:eastAsia="仿宋_GB2312" w:hint="eastAsia"/>
        </w:rPr>
        <w:t>、</w:t>
      </w:r>
      <w:r w:rsidR="00ED3A65">
        <w:rPr>
          <w:rFonts w:ascii="仿宋_GB2312" w:eastAsia="仿宋_GB2312" w:hint="eastAsia"/>
        </w:rPr>
        <w:t>充分利用各类新媒体平台，在“高青县综合行政执法局”</w:t>
      </w:r>
      <w:proofErr w:type="gramStart"/>
      <w:r w:rsidR="00ED3A65">
        <w:rPr>
          <w:rFonts w:ascii="仿宋_GB2312" w:eastAsia="仿宋_GB2312" w:hint="eastAsia"/>
        </w:rPr>
        <w:t>微信公众号</w:t>
      </w:r>
      <w:proofErr w:type="gramEnd"/>
      <w:r w:rsidR="00ED3A65">
        <w:rPr>
          <w:rFonts w:ascii="仿宋_GB2312" w:eastAsia="仿宋_GB2312" w:hint="eastAsia"/>
        </w:rPr>
        <w:t>，多形式、多角度发布城市管理工作信息，扩大</w:t>
      </w:r>
      <w:r w:rsidR="00ED3A65">
        <w:rPr>
          <w:rFonts w:ascii="仿宋_GB2312" w:eastAsia="仿宋_GB2312" w:hint="eastAsia"/>
        </w:rPr>
        <w:t>信息</w:t>
      </w:r>
      <w:r w:rsidR="00ED3A65">
        <w:rPr>
          <w:rFonts w:ascii="仿宋_GB2312" w:eastAsia="仿宋_GB2312" w:hint="eastAsia"/>
        </w:rPr>
        <w:t>公开的覆盖面和影响力。</w:t>
      </w:r>
    </w:p>
    <w:p w:rsidR="00D66989" w:rsidRDefault="00E509CF" w:rsidP="00ED3A65">
      <w:pPr>
        <w:spacing w:line="560" w:lineRule="exact"/>
        <w:ind w:firstLineChars="200" w:firstLine="640"/>
        <w:rPr>
          <w:rFonts w:ascii="楷体_GB2312" w:eastAsia="楷体_GB2312" w:hint="eastAsia"/>
          <w:szCs w:val="32"/>
        </w:rPr>
      </w:pPr>
      <w:r>
        <w:rPr>
          <w:rFonts w:ascii="楷体_GB2312" w:eastAsia="楷体_GB2312" w:hint="eastAsia"/>
          <w:szCs w:val="32"/>
        </w:rPr>
        <w:t>（五）监督保障</w:t>
      </w:r>
    </w:p>
    <w:p w:rsidR="00D66989" w:rsidRDefault="00E509CF" w:rsidP="00ED3A65">
      <w:pPr>
        <w:spacing w:line="560" w:lineRule="exact"/>
        <w:jc w:val="left"/>
        <w:rPr>
          <w:rFonts w:ascii="仿宋_GB2312" w:eastAsia="仿宋_GB2312" w:hAnsi="宋体" w:cs="仿宋_GB2312"/>
          <w:color w:val="000000"/>
          <w:szCs w:val="32"/>
          <w:shd w:val="clear" w:color="auto" w:fill="FFFFFF"/>
        </w:rPr>
      </w:pPr>
      <w:r>
        <w:rPr>
          <w:rFonts w:ascii="仿宋_GB2312" w:eastAsia="仿宋_GB2312" w:hint="eastAsia"/>
        </w:rPr>
        <w:t>及时</w:t>
      </w:r>
      <w:r>
        <w:rPr>
          <w:rFonts w:ascii="仿宋_GB2312" w:eastAsia="仿宋_GB2312" w:hint="eastAsia"/>
        </w:rPr>
        <w:t>调整政务公开领导小组，由局主要负责人任组长</w:t>
      </w:r>
      <w:r>
        <w:rPr>
          <w:rFonts w:ascii="仿宋_GB2312" w:eastAsia="仿宋_GB2312" w:hint="eastAsia"/>
        </w:rPr>
        <w:t>。领导小组办公室设在局办公室，承担领导小组日常工作，负责推进全局政务公开工作，</w:t>
      </w:r>
      <w:r>
        <w:rPr>
          <w:rFonts w:ascii="仿宋_GB2312" w:eastAsia="仿宋_GB2312" w:hint="eastAsia"/>
        </w:rPr>
        <w:t>指定</w:t>
      </w:r>
      <w:r w:rsidR="00ED3A65">
        <w:rPr>
          <w:rFonts w:ascii="仿宋_GB2312" w:eastAsia="仿宋_GB2312" w:hint="eastAsia"/>
        </w:rPr>
        <w:t>1</w:t>
      </w:r>
      <w:r>
        <w:rPr>
          <w:rFonts w:ascii="仿宋_GB2312" w:eastAsia="仿宋_GB2312" w:hint="eastAsia"/>
        </w:rPr>
        <w:t>名</w:t>
      </w:r>
      <w:r>
        <w:rPr>
          <w:rFonts w:ascii="仿宋_GB2312" w:eastAsia="仿宋_GB2312" w:hint="eastAsia"/>
        </w:rPr>
        <w:t>专职人员</w:t>
      </w:r>
      <w:r>
        <w:rPr>
          <w:rFonts w:ascii="仿宋_GB2312" w:eastAsia="仿宋_GB2312" w:hint="eastAsia"/>
        </w:rPr>
        <w:t>负责本单位政务公开工作。</w:t>
      </w:r>
      <w:r>
        <w:rPr>
          <w:rFonts w:ascii="仿宋_GB2312" w:eastAsia="仿宋_GB2312" w:hint="eastAsia"/>
        </w:rPr>
        <w:t>制定《高青县综合行政执法局</w:t>
      </w:r>
      <w:r>
        <w:rPr>
          <w:rFonts w:ascii="仿宋_GB2312" w:eastAsia="仿宋_GB2312" w:hint="eastAsia"/>
        </w:rPr>
        <w:t>2022</w:t>
      </w:r>
      <w:r>
        <w:rPr>
          <w:rFonts w:ascii="仿宋_GB2312" w:eastAsia="仿宋_GB2312" w:hint="eastAsia"/>
        </w:rPr>
        <w:t>年政务公开工作培训计划》，组织政务公开培训</w:t>
      </w:r>
      <w:r>
        <w:rPr>
          <w:rFonts w:ascii="仿宋_GB2312" w:eastAsia="仿宋_GB2312" w:hint="eastAsia"/>
        </w:rPr>
        <w:t>2</w:t>
      </w:r>
      <w:r>
        <w:rPr>
          <w:rFonts w:ascii="仿宋_GB2312" w:eastAsia="仿宋_GB2312" w:hint="eastAsia"/>
        </w:rPr>
        <w:t>次，学习《中华人民共和国政府信息公开条例》以及</w:t>
      </w:r>
      <w:r>
        <w:rPr>
          <w:rFonts w:ascii="仿宋_GB2312" w:eastAsia="仿宋_GB2312" w:hint="eastAsia"/>
        </w:rPr>
        <w:t>政务公开工作的相关文件</w:t>
      </w:r>
      <w:r>
        <w:rPr>
          <w:rFonts w:ascii="仿宋_GB2312" w:eastAsia="仿宋_GB2312" w:hint="eastAsia"/>
        </w:rPr>
        <w:t>等。</w:t>
      </w:r>
    </w:p>
    <w:p w:rsidR="00D66989" w:rsidRDefault="00D66989">
      <w:pPr>
        <w:spacing w:afterLines="50" w:after="156" w:line="240" w:lineRule="auto"/>
        <w:ind w:firstLine="0"/>
        <w:rPr>
          <w:rFonts w:ascii="黑体" w:eastAsia="黑体" w:hAnsi="黑体"/>
          <w:szCs w:val="32"/>
        </w:rPr>
      </w:pPr>
    </w:p>
    <w:p w:rsidR="00D66989" w:rsidRDefault="00D66989">
      <w:pPr>
        <w:spacing w:afterLines="50" w:after="156" w:line="240" w:lineRule="auto"/>
        <w:ind w:firstLineChars="200" w:firstLine="640"/>
        <w:jc w:val="center"/>
        <w:rPr>
          <w:rFonts w:ascii="黑体" w:eastAsia="黑体" w:hAnsi="黑体"/>
          <w:szCs w:val="32"/>
        </w:rPr>
      </w:pPr>
    </w:p>
    <w:p w:rsidR="00D66989" w:rsidRDefault="00E509CF">
      <w:pPr>
        <w:spacing w:afterLines="50" w:after="156" w:line="240" w:lineRule="auto"/>
        <w:ind w:firstLineChars="200" w:firstLine="640"/>
        <w:rPr>
          <w:rFonts w:ascii="黑体" w:eastAsia="黑体" w:hAnsi="黑体"/>
          <w:szCs w:val="32"/>
        </w:rPr>
      </w:pPr>
      <w:bookmarkStart w:id="0" w:name="_GoBack"/>
      <w:bookmarkEnd w:id="0"/>
      <w:r>
        <w:rPr>
          <w:rFonts w:ascii="黑体" w:eastAsia="黑体" w:hAnsi="黑体" w:hint="eastAsia"/>
          <w:szCs w:val="32"/>
        </w:rPr>
        <w:lastRenderedPageBreak/>
        <w:t>二、主动公开政府信息情况</w:t>
      </w:r>
    </w:p>
    <w:tbl>
      <w:tblPr>
        <w:tblStyle w:val="a7"/>
        <w:tblW w:w="0" w:type="auto"/>
        <w:jc w:val="center"/>
        <w:tblLook w:val="04A0" w:firstRow="1" w:lastRow="0" w:firstColumn="1" w:lastColumn="0" w:noHBand="0" w:noVBand="1"/>
      </w:tblPr>
      <w:tblGrid>
        <w:gridCol w:w="2454"/>
        <w:gridCol w:w="2022"/>
        <w:gridCol w:w="2023"/>
        <w:gridCol w:w="2023"/>
      </w:tblGrid>
      <w:tr w:rsidR="00D66989">
        <w:trPr>
          <w:trHeight w:hRule="exact" w:val="567"/>
          <w:jc w:val="center"/>
        </w:trPr>
        <w:tc>
          <w:tcPr>
            <w:tcW w:w="8981" w:type="dxa"/>
            <w:gridSpan w:val="4"/>
            <w:vAlign w:val="center"/>
          </w:tcPr>
          <w:p w:rsidR="00D66989" w:rsidRDefault="00E509CF">
            <w:pPr>
              <w:spacing w:line="240" w:lineRule="auto"/>
              <w:ind w:firstLine="0"/>
              <w:jc w:val="center"/>
              <w:rPr>
                <w:rFonts w:ascii="黑体" w:eastAsia="黑体" w:hAnsi="黑体"/>
                <w:sz w:val="20"/>
              </w:rPr>
            </w:pPr>
            <w:r>
              <w:rPr>
                <w:rFonts w:ascii="宋体" w:eastAsia="宋体" w:hAnsi="宋体" w:cs="宋体" w:hint="eastAsia"/>
                <w:snapToGrid/>
                <w:color w:val="000000"/>
                <w:sz w:val="20"/>
              </w:rPr>
              <w:t>第二十条第（一）项</w:t>
            </w:r>
          </w:p>
        </w:tc>
      </w:tr>
      <w:tr w:rsidR="00D66989">
        <w:trPr>
          <w:trHeight w:hRule="exact" w:val="567"/>
          <w:jc w:val="center"/>
        </w:trPr>
        <w:tc>
          <w:tcPr>
            <w:tcW w:w="2589" w:type="dxa"/>
            <w:vAlign w:val="center"/>
          </w:tcPr>
          <w:p w:rsidR="00D66989" w:rsidRDefault="00E509CF">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2130" w:type="dxa"/>
            <w:vAlign w:val="center"/>
          </w:tcPr>
          <w:p w:rsidR="00D66989" w:rsidRDefault="00E509CF">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w:t>
            </w:r>
            <w:r>
              <w:rPr>
                <w:rFonts w:ascii="宋体" w:eastAsia="宋体" w:hAnsi="宋体" w:cs="Calibri"/>
                <w:snapToGrid/>
                <w:sz w:val="20"/>
              </w:rPr>
              <w:t>制</w:t>
            </w:r>
            <w:r>
              <w:rPr>
                <w:rFonts w:ascii="宋体" w:eastAsia="宋体" w:hAnsi="宋体" w:cs="宋体" w:hint="eastAsia"/>
                <w:snapToGrid/>
                <w:sz w:val="20"/>
              </w:rPr>
              <w:t>发件</w:t>
            </w:r>
            <w:r>
              <w:rPr>
                <w:rFonts w:ascii="宋体" w:eastAsia="宋体" w:hAnsi="宋体" w:cs="Calibri"/>
                <w:snapToGrid/>
                <w:sz w:val="20"/>
              </w:rPr>
              <w:t>数</w:t>
            </w:r>
          </w:p>
        </w:tc>
        <w:tc>
          <w:tcPr>
            <w:tcW w:w="2131" w:type="dxa"/>
            <w:vAlign w:val="center"/>
          </w:tcPr>
          <w:p w:rsidR="00D66989" w:rsidRDefault="00E509CF">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本年废止件数</w:t>
            </w:r>
          </w:p>
        </w:tc>
        <w:tc>
          <w:tcPr>
            <w:tcW w:w="2131" w:type="dxa"/>
            <w:vAlign w:val="center"/>
          </w:tcPr>
          <w:p w:rsidR="00D66989" w:rsidRDefault="00E509CF">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现行有效件</w:t>
            </w:r>
            <w:r>
              <w:rPr>
                <w:rFonts w:ascii="宋体" w:eastAsia="宋体" w:hAnsi="宋体" w:cs="Calibri"/>
                <w:snapToGrid/>
                <w:sz w:val="20"/>
              </w:rPr>
              <w:t>数</w:t>
            </w:r>
          </w:p>
        </w:tc>
      </w:tr>
      <w:tr w:rsidR="00D66989">
        <w:trPr>
          <w:trHeight w:hRule="exact" w:val="567"/>
          <w:jc w:val="center"/>
        </w:trPr>
        <w:tc>
          <w:tcPr>
            <w:tcW w:w="2589" w:type="dxa"/>
            <w:vAlign w:val="center"/>
          </w:tcPr>
          <w:p w:rsidR="00D66989" w:rsidRDefault="00E509CF">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规章</w:t>
            </w:r>
          </w:p>
        </w:tc>
        <w:tc>
          <w:tcPr>
            <w:tcW w:w="2130" w:type="dxa"/>
            <w:vAlign w:val="center"/>
          </w:tcPr>
          <w:p w:rsidR="00D66989" w:rsidRPr="00201CF1" w:rsidRDefault="00E509CF" w:rsidP="00201CF1">
            <w:pPr>
              <w:spacing w:line="240" w:lineRule="auto"/>
              <w:ind w:firstLine="0"/>
              <w:jc w:val="center"/>
              <w:rPr>
                <w:rFonts w:ascii="宋体" w:eastAsia="宋体" w:hAnsi="宋体" w:cs="Calibri"/>
                <w:snapToGrid/>
                <w:sz w:val="20"/>
              </w:rPr>
            </w:pPr>
            <w:r w:rsidRPr="00201CF1">
              <w:rPr>
                <w:rFonts w:ascii="宋体" w:eastAsia="宋体" w:hAnsi="宋体" w:cs="Calibri" w:hint="eastAsia"/>
                <w:snapToGrid/>
                <w:sz w:val="20"/>
              </w:rPr>
              <w:t>0</w:t>
            </w:r>
          </w:p>
        </w:tc>
        <w:tc>
          <w:tcPr>
            <w:tcW w:w="2131" w:type="dxa"/>
            <w:vAlign w:val="center"/>
          </w:tcPr>
          <w:p w:rsidR="00D66989" w:rsidRPr="00201CF1" w:rsidRDefault="00E509CF" w:rsidP="00201CF1">
            <w:pPr>
              <w:spacing w:line="240" w:lineRule="auto"/>
              <w:ind w:firstLine="0"/>
              <w:jc w:val="center"/>
              <w:rPr>
                <w:rFonts w:ascii="宋体" w:eastAsia="宋体" w:hAnsi="宋体" w:cs="Calibri"/>
                <w:snapToGrid/>
                <w:sz w:val="20"/>
              </w:rPr>
            </w:pPr>
            <w:r w:rsidRPr="00201CF1">
              <w:rPr>
                <w:rFonts w:ascii="宋体" w:eastAsia="宋体" w:hAnsi="宋体" w:cs="Calibri" w:hint="eastAsia"/>
                <w:snapToGrid/>
                <w:sz w:val="20"/>
              </w:rPr>
              <w:t>0</w:t>
            </w:r>
          </w:p>
        </w:tc>
        <w:tc>
          <w:tcPr>
            <w:tcW w:w="2131" w:type="dxa"/>
            <w:vAlign w:val="center"/>
          </w:tcPr>
          <w:p w:rsidR="00D66989" w:rsidRPr="00201CF1" w:rsidRDefault="00E509CF" w:rsidP="00201CF1">
            <w:pPr>
              <w:spacing w:line="240" w:lineRule="auto"/>
              <w:ind w:firstLine="0"/>
              <w:jc w:val="center"/>
              <w:rPr>
                <w:rFonts w:ascii="宋体" w:eastAsia="宋体" w:hAnsi="宋体" w:cs="Calibri"/>
                <w:snapToGrid/>
                <w:sz w:val="20"/>
              </w:rPr>
            </w:pPr>
            <w:r w:rsidRPr="00201CF1">
              <w:rPr>
                <w:rFonts w:ascii="宋体" w:eastAsia="宋体" w:hAnsi="宋体" w:cs="Calibri" w:hint="eastAsia"/>
                <w:snapToGrid/>
                <w:sz w:val="20"/>
              </w:rPr>
              <w:t>0</w:t>
            </w:r>
          </w:p>
        </w:tc>
      </w:tr>
      <w:tr w:rsidR="00D66989">
        <w:trPr>
          <w:trHeight w:hRule="exact" w:val="567"/>
          <w:jc w:val="center"/>
        </w:trPr>
        <w:tc>
          <w:tcPr>
            <w:tcW w:w="2589" w:type="dxa"/>
            <w:vAlign w:val="center"/>
          </w:tcPr>
          <w:p w:rsidR="00D66989" w:rsidRDefault="00E509CF">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行政规范性文件</w:t>
            </w:r>
          </w:p>
        </w:tc>
        <w:tc>
          <w:tcPr>
            <w:tcW w:w="2130" w:type="dxa"/>
            <w:vAlign w:val="center"/>
          </w:tcPr>
          <w:p w:rsidR="00D66989" w:rsidRPr="00201CF1" w:rsidRDefault="00E509CF" w:rsidP="00201CF1">
            <w:pPr>
              <w:spacing w:line="240" w:lineRule="auto"/>
              <w:ind w:firstLine="0"/>
              <w:jc w:val="center"/>
              <w:rPr>
                <w:rFonts w:ascii="宋体" w:eastAsia="宋体" w:hAnsi="宋体" w:cs="Calibri"/>
                <w:snapToGrid/>
                <w:sz w:val="20"/>
              </w:rPr>
            </w:pPr>
            <w:r w:rsidRPr="00201CF1">
              <w:rPr>
                <w:rFonts w:ascii="宋体" w:eastAsia="宋体" w:hAnsi="宋体" w:cs="Calibri" w:hint="eastAsia"/>
                <w:snapToGrid/>
                <w:sz w:val="20"/>
              </w:rPr>
              <w:t>0</w:t>
            </w:r>
          </w:p>
        </w:tc>
        <w:tc>
          <w:tcPr>
            <w:tcW w:w="2131" w:type="dxa"/>
            <w:vAlign w:val="center"/>
          </w:tcPr>
          <w:p w:rsidR="00D66989" w:rsidRPr="00201CF1" w:rsidRDefault="00E509CF" w:rsidP="00201CF1">
            <w:pPr>
              <w:spacing w:line="240" w:lineRule="auto"/>
              <w:ind w:firstLine="0"/>
              <w:jc w:val="center"/>
              <w:rPr>
                <w:rFonts w:ascii="宋体" w:eastAsia="宋体" w:hAnsi="宋体" w:cs="Calibri"/>
                <w:snapToGrid/>
                <w:sz w:val="20"/>
              </w:rPr>
            </w:pPr>
            <w:r w:rsidRPr="00201CF1">
              <w:rPr>
                <w:rFonts w:ascii="宋体" w:eastAsia="宋体" w:hAnsi="宋体" w:cs="Calibri" w:hint="eastAsia"/>
                <w:snapToGrid/>
                <w:sz w:val="20"/>
              </w:rPr>
              <w:t>0</w:t>
            </w:r>
          </w:p>
        </w:tc>
        <w:tc>
          <w:tcPr>
            <w:tcW w:w="2131" w:type="dxa"/>
            <w:vAlign w:val="center"/>
          </w:tcPr>
          <w:p w:rsidR="00D66989" w:rsidRPr="00201CF1" w:rsidRDefault="00E509CF" w:rsidP="00201CF1">
            <w:pPr>
              <w:spacing w:line="240" w:lineRule="auto"/>
              <w:ind w:firstLine="0"/>
              <w:jc w:val="center"/>
              <w:rPr>
                <w:rFonts w:ascii="宋体" w:eastAsia="宋体" w:hAnsi="宋体" w:cs="Calibri"/>
                <w:snapToGrid/>
                <w:sz w:val="20"/>
              </w:rPr>
            </w:pPr>
            <w:r w:rsidRPr="00201CF1">
              <w:rPr>
                <w:rFonts w:ascii="宋体" w:eastAsia="宋体" w:hAnsi="宋体" w:cs="Calibri" w:hint="eastAsia"/>
                <w:snapToGrid/>
                <w:sz w:val="20"/>
              </w:rPr>
              <w:t>0</w:t>
            </w:r>
          </w:p>
        </w:tc>
      </w:tr>
      <w:tr w:rsidR="00D66989">
        <w:trPr>
          <w:trHeight w:hRule="exact" w:val="567"/>
          <w:jc w:val="center"/>
        </w:trPr>
        <w:tc>
          <w:tcPr>
            <w:tcW w:w="8981" w:type="dxa"/>
            <w:gridSpan w:val="4"/>
            <w:vAlign w:val="center"/>
          </w:tcPr>
          <w:p w:rsidR="00D66989" w:rsidRDefault="00E509CF">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第二十条第（五）项</w:t>
            </w:r>
          </w:p>
        </w:tc>
      </w:tr>
      <w:tr w:rsidR="00D66989">
        <w:trPr>
          <w:trHeight w:hRule="exact" w:val="567"/>
          <w:jc w:val="center"/>
        </w:trPr>
        <w:tc>
          <w:tcPr>
            <w:tcW w:w="2589" w:type="dxa"/>
            <w:vAlign w:val="center"/>
          </w:tcPr>
          <w:p w:rsidR="00D66989" w:rsidRDefault="00E509CF">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D66989" w:rsidRDefault="00E509CF">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D66989">
        <w:trPr>
          <w:trHeight w:hRule="exact" w:val="567"/>
          <w:jc w:val="center"/>
        </w:trPr>
        <w:tc>
          <w:tcPr>
            <w:tcW w:w="2589" w:type="dxa"/>
            <w:vAlign w:val="center"/>
          </w:tcPr>
          <w:p w:rsidR="00D66989" w:rsidRDefault="00E509CF">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行政许可</w:t>
            </w:r>
          </w:p>
        </w:tc>
        <w:tc>
          <w:tcPr>
            <w:tcW w:w="6392" w:type="dxa"/>
            <w:gridSpan w:val="3"/>
            <w:vAlign w:val="center"/>
          </w:tcPr>
          <w:p w:rsidR="00D66989" w:rsidRDefault="00E509CF" w:rsidP="00201CF1">
            <w:pPr>
              <w:spacing w:line="240" w:lineRule="auto"/>
              <w:ind w:firstLine="0"/>
              <w:jc w:val="center"/>
              <w:rPr>
                <w:rFonts w:ascii="黑体" w:eastAsia="黑体" w:hAnsi="黑体"/>
                <w:sz w:val="20"/>
              </w:rPr>
            </w:pPr>
            <w:r>
              <w:rPr>
                <w:rFonts w:ascii="黑体" w:eastAsia="黑体" w:hAnsi="黑体" w:hint="eastAsia"/>
                <w:sz w:val="20"/>
              </w:rPr>
              <w:t>0</w:t>
            </w:r>
          </w:p>
        </w:tc>
      </w:tr>
      <w:tr w:rsidR="00D66989">
        <w:trPr>
          <w:trHeight w:hRule="exact" w:val="567"/>
          <w:jc w:val="center"/>
        </w:trPr>
        <w:tc>
          <w:tcPr>
            <w:tcW w:w="8981" w:type="dxa"/>
            <w:gridSpan w:val="4"/>
            <w:vAlign w:val="center"/>
          </w:tcPr>
          <w:p w:rsidR="00D66989" w:rsidRDefault="00E509CF">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第二十条第（六）项</w:t>
            </w:r>
          </w:p>
        </w:tc>
      </w:tr>
      <w:tr w:rsidR="00D66989">
        <w:trPr>
          <w:trHeight w:hRule="exact" w:val="567"/>
          <w:jc w:val="center"/>
        </w:trPr>
        <w:tc>
          <w:tcPr>
            <w:tcW w:w="2589" w:type="dxa"/>
            <w:vAlign w:val="center"/>
          </w:tcPr>
          <w:p w:rsidR="00D66989" w:rsidRDefault="00E509CF">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D66989" w:rsidRDefault="00E509CF">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D66989">
        <w:trPr>
          <w:trHeight w:hRule="exact" w:val="567"/>
          <w:jc w:val="center"/>
        </w:trPr>
        <w:tc>
          <w:tcPr>
            <w:tcW w:w="2589" w:type="dxa"/>
            <w:vAlign w:val="center"/>
          </w:tcPr>
          <w:p w:rsidR="00D66989" w:rsidRDefault="00E509CF">
            <w:pPr>
              <w:widowControl/>
              <w:autoSpaceDE/>
              <w:autoSpaceDN/>
              <w:snapToGrid/>
              <w:spacing w:line="240" w:lineRule="auto"/>
              <w:ind w:firstLine="0"/>
              <w:rPr>
                <w:rFonts w:ascii="宋体" w:eastAsia="宋体" w:hAnsi="宋体" w:cs="宋体"/>
                <w:snapToGrid/>
                <w:sz w:val="20"/>
              </w:rPr>
            </w:pPr>
            <w:r>
              <w:rPr>
                <w:rFonts w:ascii="宋体" w:eastAsia="宋体" w:hAnsi="宋体" w:cs="宋体" w:hint="eastAsia"/>
                <w:snapToGrid/>
                <w:sz w:val="20"/>
              </w:rPr>
              <w:t>行政处罚</w:t>
            </w:r>
          </w:p>
        </w:tc>
        <w:tc>
          <w:tcPr>
            <w:tcW w:w="6392" w:type="dxa"/>
            <w:gridSpan w:val="3"/>
            <w:vAlign w:val="center"/>
          </w:tcPr>
          <w:p w:rsidR="00D66989" w:rsidRPr="00201CF1" w:rsidRDefault="00E509CF" w:rsidP="00201CF1">
            <w:pPr>
              <w:spacing w:line="240" w:lineRule="auto"/>
              <w:ind w:firstLine="0"/>
              <w:jc w:val="center"/>
              <w:rPr>
                <w:rFonts w:ascii="宋体" w:eastAsia="宋体" w:hAnsi="宋体" w:cs="Calibri"/>
                <w:snapToGrid/>
                <w:sz w:val="20"/>
              </w:rPr>
            </w:pPr>
            <w:r w:rsidRPr="00201CF1">
              <w:rPr>
                <w:rFonts w:ascii="宋体" w:eastAsia="宋体" w:hAnsi="宋体" w:cs="Calibri" w:hint="eastAsia"/>
                <w:snapToGrid/>
                <w:sz w:val="20"/>
              </w:rPr>
              <w:t>78</w:t>
            </w:r>
          </w:p>
        </w:tc>
      </w:tr>
      <w:tr w:rsidR="00D66989">
        <w:trPr>
          <w:trHeight w:hRule="exact" w:val="567"/>
          <w:jc w:val="center"/>
        </w:trPr>
        <w:tc>
          <w:tcPr>
            <w:tcW w:w="2589" w:type="dxa"/>
            <w:vAlign w:val="center"/>
          </w:tcPr>
          <w:p w:rsidR="00D66989" w:rsidRDefault="00E509CF">
            <w:pPr>
              <w:widowControl/>
              <w:autoSpaceDE/>
              <w:autoSpaceDN/>
              <w:snapToGrid/>
              <w:spacing w:line="240" w:lineRule="auto"/>
              <w:ind w:firstLine="0"/>
              <w:rPr>
                <w:rFonts w:ascii="宋体" w:eastAsia="宋体" w:hAnsi="宋体" w:cs="宋体"/>
                <w:snapToGrid/>
                <w:sz w:val="20"/>
              </w:rPr>
            </w:pPr>
            <w:r>
              <w:rPr>
                <w:rFonts w:ascii="宋体" w:eastAsia="宋体" w:hAnsi="宋体" w:cs="宋体" w:hint="eastAsia"/>
                <w:snapToGrid/>
                <w:sz w:val="20"/>
              </w:rPr>
              <w:t>行政强制</w:t>
            </w:r>
          </w:p>
        </w:tc>
        <w:tc>
          <w:tcPr>
            <w:tcW w:w="6392" w:type="dxa"/>
            <w:gridSpan w:val="3"/>
            <w:vAlign w:val="center"/>
          </w:tcPr>
          <w:p w:rsidR="00D66989" w:rsidRPr="00201CF1" w:rsidRDefault="00E509CF" w:rsidP="00201CF1">
            <w:pPr>
              <w:spacing w:line="240" w:lineRule="auto"/>
              <w:ind w:firstLine="0"/>
              <w:jc w:val="center"/>
              <w:rPr>
                <w:rFonts w:ascii="宋体" w:eastAsia="宋体" w:hAnsi="宋体" w:cs="Calibri"/>
                <w:snapToGrid/>
                <w:sz w:val="20"/>
              </w:rPr>
            </w:pPr>
            <w:r w:rsidRPr="00201CF1">
              <w:rPr>
                <w:rFonts w:ascii="宋体" w:eastAsia="宋体" w:hAnsi="宋体" w:cs="Calibri" w:hint="eastAsia"/>
                <w:snapToGrid/>
                <w:sz w:val="20"/>
              </w:rPr>
              <w:t>2</w:t>
            </w:r>
          </w:p>
        </w:tc>
      </w:tr>
      <w:tr w:rsidR="00D66989">
        <w:trPr>
          <w:trHeight w:hRule="exact" w:val="567"/>
          <w:jc w:val="center"/>
        </w:trPr>
        <w:tc>
          <w:tcPr>
            <w:tcW w:w="8981" w:type="dxa"/>
            <w:gridSpan w:val="4"/>
            <w:vAlign w:val="center"/>
          </w:tcPr>
          <w:p w:rsidR="00D66989" w:rsidRDefault="00E509CF">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第二十条第（八）项</w:t>
            </w:r>
          </w:p>
        </w:tc>
      </w:tr>
      <w:tr w:rsidR="00D66989">
        <w:trPr>
          <w:trHeight w:hRule="exact" w:val="567"/>
          <w:jc w:val="center"/>
        </w:trPr>
        <w:tc>
          <w:tcPr>
            <w:tcW w:w="2589" w:type="dxa"/>
            <w:vAlign w:val="center"/>
          </w:tcPr>
          <w:p w:rsidR="00D66989" w:rsidRDefault="00E509CF">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D66989" w:rsidRDefault="00E509CF">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本年收费金额（单位：万元）</w:t>
            </w:r>
          </w:p>
        </w:tc>
      </w:tr>
      <w:tr w:rsidR="00D66989">
        <w:trPr>
          <w:trHeight w:hRule="exact" w:val="567"/>
          <w:jc w:val="center"/>
        </w:trPr>
        <w:tc>
          <w:tcPr>
            <w:tcW w:w="2589" w:type="dxa"/>
            <w:vAlign w:val="center"/>
          </w:tcPr>
          <w:p w:rsidR="00D66989" w:rsidRDefault="00E509CF">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sz w:val="20"/>
              </w:rPr>
              <w:t>行政事业性收费</w:t>
            </w:r>
          </w:p>
        </w:tc>
        <w:tc>
          <w:tcPr>
            <w:tcW w:w="6392" w:type="dxa"/>
            <w:gridSpan w:val="3"/>
            <w:vAlign w:val="center"/>
          </w:tcPr>
          <w:p w:rsidR="00D66989" w:rsidRDefault="00E509CF" w:rsidP="00201CF1">
            <w:pPr>
              <w:spacing w:line="240" w:lineRule="auto"/>
              <w:ind w:firstLine="0"/>
              <w:jc w:val="center"/>
              <w:rPr>
                <w:rFonts w:ascii="黑体" w:eastAsia="黑体" w:hAnsi="黑体"/>
                <w:sz w:val="20"/>
              </w:rPr>
            </w:pPr>
            <w:r w:rsidRPr="00201CF1">
              <w:rPr>
                <w:rFonts w:ascii="宋体" w:eastAsia="宋体" w:hAnsi="宋体" w:cs="Calibri" w:hint="eastAsia"/>
                <w:snapToGrid/>
                <w:sz w:val="20"/>
              </w:rPr>
              <w:t>0</w:t>
            </w:r>
          </w:p>
        </w:tc>
      </w:tr>
    </w:tbl>
    <w:p w:rsidR="00D66989" w:rsidRDefault="00D66989">
      <w:pPr>
        <w:spacing w:line="240" w:lineRule="auto"/>
        <w:ind w:firstLine="0"/>
        <w:rPr>
          <w:rFonts w:ascii="黑体" w:eastAsia="黑体" w:hAnsi="黑体"/>
          <w:sz w:val="30"/>
          <w:szCs w:val="30"/>
        </w:rPr>
      </w:pPr>
    </w:p>
    <w:p w:rsidR="00D66989" w:rsidRDefault="00D66989">
      <w:pPr>
        <w:spacing w:line="240" w:lineRule="auto"/>
        <w:ind w:firstLine="0"/>
        <w:rPr>
          <w:rFonts w:ascii="黑体" w:eastAsia="黑体" w:hAnsi="黑体"/>
          <w:sz w:val="30"/>
          <w:szCs w:val="30"/>
        </w:rPr>
      </w:pPr>
    </w:p>
    <w:p w:rsidR="00D66989" w:rsidRDefault="00D66989">
      <w:pPr>
        <w:spacing w:line="240" w:lineRule="auto"/>
        <w:ind w:firstLine="0"/>
        <w:rPr>
          <w:rFonts w:ascii="黑体" w:eastAsia="黑体" w:hAnsi="黑体"/>
          <w:sz w:val="30"/>
          <w:szCs w:val="30"/>
        </w:rPr>
      </w:pPr>
    </w:p>
    <w:p w:rsidR="00D66989" w:rsidRDefault="00D66989">
      <w:pPr>
        <w:spacing w:line="240" w:lineRule="auto"/>
        <w:ind w:firstLine="0"/>
        <w:rPr>
          <w:rFonts w:ascii="黑体" w:eastAsia="黑体" w:hAnsi="黑体"/>
          <w:sz w:val="30"/>
          <w:szCs w:val="30"/>
        </w:rPr>
      </w:pPr>
    </w:p>
    <w:p w:rsidR="00D66989" w:rsidRDefault="00D66989">
      <w:pPr>
        <w:spacing w:line="240" w:lineRule="auto"/>
        <w:ind w:firstLine="0"/>
        <w:rPr>
          <w:rFonts w:ascii="黑体" w:eastAsia="黑体" w:hAnsi="黑体"/>
          <w:sz w:val="30"/>
          <w:szCs w:val="30"/>
        </w:rPr>
      </w:pPr>
    </w:p>
    <w:p w:rsidR="00D66989" w:rsidRDefault="00D66989">
      <w:pPr>
        <w:spacing w:line="240" w:lineRule="auto"/>
        <w:ind w:firstLine="0"/>
        <w:rPr>
          <w:rFonts w:ascii="黑体" w:eastAsia="黑体" w:hAnsi="黑体"/>
          <w:sz w:val="30"/>
          <w:szCs w:val="30"/>
        </w:rPr>
      </w:pPr>
    </w:p>
    <w:p w:rsidR="00D66989" w:rsidRDefault="00D66989">
      <w:pPr>
        <w:spacing w:line="240" w:lineRule="auto"/>
        <w:ind w:firstLine="0"/>
        <w:rPr>
          <w:rFonts w:ascii="黑体" w:eastAsia="黑体" w:hAnsi="黑体"/>
          <w:sz w:val="30"/>
          <w:szCs w:val="30"/>
        </w:rPr>
      </w:pPr>
    </w:p>
    <w:p w:rsidR="00D66989" w:rsidRDefault="00D66989">
      <w:pPr>
        <w:spacing w:line="240" w:lineRule="auto"/>
        <w:ind w:firstLine="0"/>
        <w:rPr>
          <w:rFonts w:ascii="黑体" w:eastAsia="黑体" w:hAnsi="黑体"/>
          <w:sz w:val="30"/>
          <w:szCs w:val="30"/>
        </w:rPr>
      </w:pPr>
    </w:p>
    <w:p w:rsidR="00D66989" w:rsidRDefault="00D66989">
      <w:pPr>
        <w:spacing w:line="240" w:lineRule="auto"/>
        <w:ind w:firstLine="0"/>
        <w:rPr>
          <w:rFonts w:ascii="黑体" w:eastAsia="黑体" w:hAnsi="黑体"/>
          <w:sz w:val="30"/>
          <w:szCs w:val="30"/>
        </w:rPr>
      </w:pPr>
    </w:p>
    <w:p w:rsidR="00D66989" w:rsidRDefault="00D66989">
      <w:pPr>
        <w:spacing w:line="240" w:lineRule="auto"/>
        <w:ind w:firstLine="0"/>
        <w:rPr>
          <w:rFonts w:ascii="黑体" w:eastAsia="黑体" w:hAnsi="黑体"/>
          <w:sz w:val="30"/>
          <w:szCs w:val="30"/>
        </w:rPr>
      </w:pPr>
    </w:p>
    <w:p w:rsidR="00D66989" w:rsidRDefault="00D66989">
      <w:pPr>
        <w:spacing w:line="240" w:lineRule="auto"/>
        <w:ind w:firstLine="0"/>
        <w:rPr>
          <w:rFonts w:ascii="黑体" w:eastAsia="黑体" w:hAnsi="黑体"/>
          <w:sz w:val="30"/>
          <w:szCs w:val="30"/>
        </w:rPr>
      </w:pPr>
    </w:p>
    <w:p w:rsidR="00D66989" w:rsidRDefault="00D66989">
      <w:pPr>
        <w:spacing w:line="240" w:lineRule="auto"/>
        <w:ind w:firstLine="0"/>
        <w:rPr>
          <w:rFonts w:ascii="黑体" w:eastAsia="黑体" w:hAnsi="黑体"/>
          <w:sz w:val="30"/>
          <w:szCs w:val="30"/>
        </w:rPr>
      </w:pPr>
    </w:p>
    <w:p w:rsidR="00D66989" w:rsidRDefault="00D66989">
      <w:pPr>
        <w:spacing w:line="240" w:lineRule="auto"/>
        <w:ind w:firstLineChars="200" w:firstLine="600"/>
        <w:rPr>
          <w:rFonts w:ascii="黑体" w:eastAsia="黑体" w:hAnsi="黑体"/>
          <w:sz w:val="30"/>
          <w:szCs w:val="30"/>
        </w:rPr>
      </w:pPr>
    </w:p>
    <w:p w:rsidR="00D66989" w:rsidRDefault="00E509CF">
      <w:pPr>
        <w:spacing w:line="560" w:lineRule="exact"/>
        <w:ind w:firstLineChars="200" w:firstLine="640"/>
        <w:rPr>
          <w:rFonts w:ascii="黑体" w:eastAsia="黑体" w:hAnsi="黑体"/>
          <w:szCs w:val="32"/>
        </w:rPr>
      </w:pPr>
      <w:r>
        <w:rPr>
          <w:rFonts w:ascii="黑体" w:eastAsia="黑体" w:hAnsi="黑体" w:hint="eastAsia"/>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D66989">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D66989" w:rsidRDefault="00E509CF">
            <w:pPr>
              <w:widowControl/>
              <w:autoSpaceDE/>
              <w:autoSpaceDN/>
              <w:snapToGrid/>
              <w:spacing w:line="240" w:lineRule="auto"/>
              <w:ind w:firstLine="0"/>
              <w:jc w:val="left"/>
              <w:rPr>
                <w:rFonts w:ascii="宋体" w:eastAsia="宋体" w:hAnsi="宋体" w:cs="宋体"/>
                <w:snapToGrid/>
                <w:sz w:val="24"/>
                <w:szCs w:val="24"/>
              </w:rPr>
            </w:pPr>
            <w:r>
              <w:rPr>
                <w:rFonts w:ascii="楷体" w:eastAsia="楷体" w:hAnsi="楷体" w:cs="宋体" w:hint="eastAsia"/>
                <w:snapToGrid/>
                <w:sz w:val="20"/>
              </w:rPr>
              <w:t>（本列数据的勾</w:t>
            </w:r>
            <w:proofErr w:type="gramStart"/>
            <w:r>
              <w:rPr>
                <w:rFonts w:ascii="楷体" w:eastAsia="楷体" w:hAnsi="楷体" w:cs="宋体" w:hint="eastAsia"/>
                <w:snapToGrid/>
                <w:sz w:val="20"/>
              </w:rPr>
              <w:t>稽</w:t>
            </w:r>
            <w:proofErr w:type="gramEnd"/>
            <w:r>
              <w:rPr>
                <w:rFonts w:ascii="楷体" w:eastAsia="楷体" w:hAnsi="楷体" w:cs="宋体" w:hint="eastAsia"/>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D66989" w:rsidRDefault="00E509C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申请人情况</w:t>
            </w:r>
          </w:p>
        </w:tc>
      </w:tr>
      <w:tr w:rsidR="00D66989">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D66989" w:rsidRDefault="00D66989">
            <w:pPr>
              <w:widowControl/>
              <w:autoSpaceDE/>
              <w:autoSpaceDN/>
              <w:snapToGrid/>
              <w:spacing w:line="240" w:lineRule="auto"/>
              <w:ind w:firstLine="0"/>
              <w:jc w:val="left"/>
              <w:rPr>
                <w:rFonts w:ascii="宋体" w:eastAsia="宋体" w:hAnsi="宋体" w:cs="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D66989" w:rsidRDefault="00E509C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D66989" w:rsidRDefault="00E509C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D66989" w:rsidRDefault="00E509C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r>
      <w:tr w:rsidR="00D66989">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D66989" w:rsidRDefault="00D66989">
            <w:pPr>
              <w:widowControl/>
              <w:autoSpaceDE/>
              <w:autoSpaceDN/>
              <w:snapToGrid/>
              <w:spacing w:line="240" w:lineRule="auto"/>
              <w:ind w:firstLine="0"/>
              <w:jc w:val="left"/>
              <w:rPr>
                <w:rFonts w:ascii="宋体" w:eastAsia="宋体" w:hAnsi="宋体" w:cs="宋体"/>
                <w:snapToGrid/>
                <w:sz w:val="24"/>
                <w:szCs w:val="24"/>
              </w:rPr>
            </w:pPr>
          </w:p>
        </w:tc>
        <w:tc>
          <w:tcPr>
            <w:tcW w:w="850" w:type="dxa"/>
            <w:vMerge/>
            <w:tcBorders>
              <w:top w:val="nil"/>
              <w:left w:val="nil"/>
              <w:bottom w:val="single" w:sz="8" w:space="0" w:color="auto"/>
              <w:right w:val="single" w:sz="8" w:space="0" w:color="auto"/>
            </w:tcBorders>
            <w:vAlign w:val="center"/>
          </w:tcPr>
          <w:p w:rsidR="00D66989" w:rsidRDefault="00D66989">
            <w:pPr>
              <w:widowControl/>
              <w:autoSpaceDE/>
              <w:autoSpaceDN/>
              <w:snapToGrid/>
              <w:spacing w:line="240" w:lineRule="auto"/>
              <w:ind w:firstLine="0"/>
              <w:jc w:val="left"/>
              <w:rPr>
                <w:rFonts w:ascii="宋体" w:eastAsia="宋体" w:hAnsi="宋体" w:cs="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Default="00E509C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商业</w:t>
            </w:r>
          </w:p>
          <w:p w:rsidR="00D66989" w:rsidRDefault="00E509C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Default="00E509C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科研</w:t>
            </w:r>
          </w:p>
          <w:p w:rsidR="00D66989" w:rsidRDefault="00E509C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D66989" w:rsidRDefault="00E509C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D66989" w:rsidRDefault="00E509C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D66989" w:rsidRDefault="00E509C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D66989" w:rsidRDefault="00D66989">
            <w:pPr>
              <w:widowControl/>
              <w:autoSpaceDE/>
              <w:autoSpaceDN/>
              <w:snapToGrid/>
              <w:spacing w:line="240" w:lineRule="auto"/>
              <w:ind w:firstLine="0"/>
              <w:jc w:val="left"/>
              <w:rPr>
                <w:rFonts w:ascii="宋体" w:eastAsia="宋体" w:hAnsi="宋体" w:cs="宋体"/>
                <w:snapToGrid/>
                <w:sz w:val="24"/>
                <w:szCs w:val="24"/>
              </w:rPr>
            </w:pPr>
          </w:p>
        </w:tc>
      </w:tr>
      <w:tr w:rsidR="00D66989" w:rsidTr="00201CF1">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D66989" w:rsidRDefault="00E509C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201CF1"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4</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201CF1"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4</w:t>
            </w:r>
          </w:p>
        </w:tc>
      </w:tr>
      <w:tr w:rsidR="00D66989" w:rsidTr="00201CF1">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D66989" w:rsidRDefault="00E509C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r>
      <w:tr w:rsidR="00D66989" w:rsidTr="00201CF1">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D66989" w:rsidRDefault="00E509C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D66989" w:rsidRDefault="00E509C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1</w:t>
            </w:r>
          </w:p>
        </w:tc>
      </w:tr>
      <w:tr w:rsidR="00D66989" w:rsidTr="00201CF1">
        <w:trPr>
          <w:jc w:val="center"/>
        </w:trPr>
        <w:tc>
          <w:tcPr>
            <w:tcW w:w="0" w:type="auto"/>
            <w:vMerge/>
            <w:tcBorders>
              <w:top w:val="nil"/>
              <w:left w:val="single" w:sz="8" w:space="0" w:color="auto"/>
              <w:bottom w:val="inset" w:sz="8" w:space="0" w:color="auto"/>
              <w:right w:val="single" w:sz="8" w:space="0" w:color="auto"/>
            </w:tcBorders>
            <w:vAlign w:val="center"/>
          </w:tcPr>
          <w:p w:rsidR="00D66989" w:rsidRDefault="00D66989">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D66989" w:rsidRDefault="00E509C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（二）部分公开</w:t>
            </w:r>
            <w:r>
              <w:rPr>
                <w:rFonts w:ascii="楷体" w:eastAsia="楷体" w:hAnsi="楷体" w:cs="宋体" w:hint="eastAsia"/>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r>
      <w:tr w:rsidR="00D66989" w:rsidTr="00201CF1">
        <w:trPr>
          <w:jc w:val="center"/>
        </w:trPr>
        <w:tc>
          <w:tcPr>
            <w:tcW w:w="0" w:type="auto"/>
            <w:vMerge/>
            <w:tcBorders>
              <w:top w:val="nil"/>
              <w:left w:val="single" w:sz="8" w:space="0" w:color="auto"/>
              <w:bottom w:val="inset" w:sz="8" w:space="0" w:color="auto"/>
              <w:right w:val="single" w:sz="8" w:space="0" w:color="auto"/>
            </w:tcBorders>
            <w:vAlign w:val="center"/>
          </w:tcPr>
          <w:p w:rsidR="00D66989" w:rsidRDefault="00D66989">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D66989" w:rsidRDefault="00E509C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66989" w:rsidRDefault="00E509C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w:t>
            </w:r>
            <w:r>
              <w:rPr>
                <w:rFonts w:ascii="宋体" w:eastAsia="宋体" w:hAnsi="宋体" w:cs="宋体" w:hint="eastAsia"/>
                <w:snapToGrid/>
                <w:sz w:val="20"/>
              </w:rPr>
              <w:t>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r>
      <w:tr w:rsidR="00D66989" w:rsidTr="00201CF1">
        <w:trPr>
          <w:jc w:val="center"/>
        </w:trPr>
        <w:tc>
          <w:tcPr>
            <w:tcW w:w="0" w:type="auto"/>
            <w:vMerge/>
            <w:tcBorders>
              <w:top w:val="nil"/>
              <w:left w:val="single" w:sz="8" w:space="0" w:color="auto"/>
              <w:bottom w:val="inset" w:sz="8" w:space="0" w:color="auto"/>
              <w:right w:val="single" w:sz="8" w:space="0" w:color="auto"/>
            </w:tcBorders>
            <w:vAlign w:val="center"/>
          </w:tcPr>
          <w:p w:rsidR="00D66989" w:rsidRDefault="00D66989">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D66989" w:rsidRDefault="00D66989">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66989" w:rsidRDefault="00E509C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w:t>
            </w:r>
            <w:r>
              <w:rPr>
                <w:rFonts w:ascii="宋体" w:eastAsia="宋体" w:hAnsi="宋体" w:cs="宋体" w:hint="eastAsia"/>
                <w:snapToGrid/>
                <w:sz w:val="20"/>
              </w:rPr>
              <w:t>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r>
      <w:tr w:rsidR="00D66989" w:rsidTr="00201CF1">
        <w:trPr>
          <w:jc w:val="center"/>
        </w:trPr>
        <w:tc>
          <w:tcPr>
            <w:tcW w:w="0" w:type="auto"/>
            <w:vMerge/>
            <w:tcBorders>
              <w:top w:val="nil"/>
              <w:left w:val="single" w:sz="8" w:space="0" w:color="auto"/>
              <w:bottom w:val="inset" w:sz="8" w:space="0" w:color="auto"/>
              <w:right w:val="single" w:sz="8" w:space="0" w:color="auto"/>
            </w:tcBorders>
            <w:vAlign w:val="center"/>
          </w:tcPr>
          <w:p w:rsidR="00D66989" w:rsidRDefault="00D66989">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D66989" w:rsidRDefault="00D66989">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66989" w:rsidRDefault="00E509C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w:t>
            </w:r>
            <w:r>
              <w:rPr>
                <w:rFonts w:ascii="宋体" w:eastAsia="宋体" w:hAnsi="宋体" w:cs="宋体" w:hint="eastAsia"/>
                <w:snapToGrid/>
                <w:sz w:val="20"/>
              </w:rPr>
              <w:t>危及“三安全</w:t>
            </w:r>
            <w:proofErr w:type="gramStart"/>
            <w:r>
              <w:rPr>
                <w:rFonts w:ascii="宋体" w:eastAsia="宋体" w:hAnsi="宋体" w:cs="宋体" w:hint="eastAsia"/>
                <w:snapToGrid/>
                <w:sz w:val="20"/>
              </w:rPr>
              <w:t>一</w:t>
            </w:r>
            <w:proofErr w:type="gramEnd"/>
            <w:r>
              <w:rPr>
                <w:rFonts w:ascii="宋体" w:eastAsia="宋体" w:hAnsi="宋体" w:cs="宋体" w:hint="eastAsia"/>
                <w:snapToGrid/>
                <w:sz w:val="20"/>
              </w:rPr>
              <w:t>稳定”</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r>
      <w:tr w:rsidR="00D66989" w:rsidTr="00201CF1">
        <w:trPr>
          <w:jc w:val="center"/>
        </w:trPr>
        <w:tc>
          <w:tcPr>
            <w:tcW w:w="0" w:type="auto"/>
            <w:vMerge/>
            <w:tcBorders>
              <w:top w:val="nil"/>
              <w:left w:val="single" w:sz="8" w:space="0" w:color="auto"/>
              <w:bottom w:val="inset" w:sz="8" w:space="0" w:color="auto"/>
              <w:right w:val="single" w:sz="8" w:space="0" w:color="auto"/>
            </w:tcBorders>
            <w:vAlign w:val="center"/>
          </w:tcPr>
          <w:p w:rsidR="00D66989" w:rsidRDefault="00D66989">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D66989" w:rsidRDefault="00D66989">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66989" w:rsidRDefault="00E509C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w:t>
            </w:r>
            <w:r>
              <w:rPr>
                <w:rFonts w:ascii="宋体" w:eastAsia="宋体" w:hAnsi="宋体" w:cs="宋体" w:hint="eastAsia"/>
                <w:snapToGrid/>
                <w:sz w:val="20"/>
              </w:rPr>
              <w:t>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r>
      <w:tr w:rsidR="00D66989" w:rsidTr="00201CF1">
        <w:trPr>
          <w:jc w:val="center"/>
        </w:trPr>
        <w:tc>
          <w:tcPr>
            <w:tcW w:w="0" w:type="auto"/>
            <w:vMerge/>
            <w:tcBorders>
              <w:top w:val="nil"/>
              <w:left w:val="single" w:sz="8" w:space="0" w:color="auto"/>
              <w:bottom w:val="inset" w:sz="8" w:space="0" w:color="auto"/>
              <w:right w:val="single" w:sz="8" w:space="0" w:color="auto"/>
            </w:tcBorders>
            <w:vAlign w:val="center"/>
          </w:tcPr>
          <w:p w:rsidR="00D66989" w:rsidRDefault="00D66989">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D66989" w:rsidRDefault="00D66989">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66989" w:rsidRDefault="00E509C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5.</w:t>
            </w:r>
            <w:r>
              <w:rPr>
                <w:rFonts w:ascii="宋体" w:eastAsia="宋体" w:hAnsi="宋体" w:cs="宋体" w:hint="eastAsia"/>
                <w:snapToGrid/>
                <w:sz w:val="20"/>
              </w:rPr>
              <w:t>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r>
      <w:tr w:rsidR="00D66989" w:rsidTr="00201CF1">
        <w:trPr>
          <w:jc w:val="center"/>
        </w:trPr>
        <w:tc>
          <w:tcPr>
            <w:tcW w:w="0" w:type="auto"/>
            <w:vMerge/>
            <w:tcBorders>
              <w:top w:val="nil"/>
              <w:left w:val="single" w:sz="8" w:space="0" w:color="auto"/>
              <w:bottom w:val="inset" w:sz="8" w:space="0" w:color="auto"/>
              <w:right w:val="single" w:sz="8" w:space="0" w:color="auto"/>
            </w:tcBorders>
            <w:vAlign w:val="center"/>
          </w:tcPr>
          <w:p w:rsidR="00D66989" w:rsidRDefault="00D66989">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D66989" w:rsidRDefault="00D66989">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66989" w:rsidRDefault="00E509C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6.</w:t>
            </w:r>
            <w:r>
              <w:rPr>
                <w:rFonts w:ascii="宋体" w:eastAsia="宋体" w:hAnsi="宋体" w:cs="宋体" w:hint="eastAsia"/>
                <w:snapToGrid/>
                <w:sz w:val="20"/>
              </w:rPr>
              <w:t>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r>
      <w:tr w:rsidR="00D66989" w:rsidTr="00201CF1">
        <w:trPr>
          <w:jc w:val="center"/>
        </w:trPr>
        <w:tc>
          <w:tcPr>
            <w:tcW w:w="0" w:type="auto"/>
            <w:vMerge/>
            <w:tcBorders>
              <w:top w:val="nil"/>
              <w:left w:val="single" w:sz="8" w:space="0" w:color="auto"/>
              <w:bottom w:val="inset" w:sz="8" w:space="0" w:color="auto"/>
              <w:right w:val="single" w:sz="8" w:space="0" w:color="auto"/>
            </w:tcBorders>
            <w:vAlign w:val="center"/>
          </w:tcPr>
          <w:p w:rsidR="00D66989" w:rsidRDefault="00D66989">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D66989" w:rsidRDefault="00D66989">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66989" w:rsidRDefault="00E509C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7.</w:t>
            </w:r>
            <w:r>
              <w:rPr>
                <w:rFonts w:ascii="宋体" w:eastAsia="宋体" w:hAnsi="宋体" w:cs="宋体" w:hint="eastAsia"/>
                <w:snapToGrid/>
                <w:sz w:val="20"/>
              </w:rPr>
              <w:t>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r>
      <w:tr w:rsidR="00D66989" w:rsidTr="00201CF1">
        <w:trPr>
          <w:jc w:val="center"/>
        </w:trPr>
        <w:tc>
          <w:tcPr>
            <w:tcW w:w="0" w:type="auto"/>
            <w:vMerge/>
            <w:tcBorders>
              <w:top w:val="nil"/>
              <w:left w:val="single" w:sz="8" w:space="0" w:color="auto"/>
              <w:bottom w:val="inset" w:sz="8" w:space="0" w:color="auto"/>
              <w:right w:val="single" w:sz="8" w:space="0" w:color="auto"/>
            </w:tcBorders>
            <w:vAlign w:val="center"/>
          </w:tcPr>
          <w:p w:rsidR="00D66989" w:rsidRDefault="00D66989">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D66989" w:rsidRDefault="00D66989">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66989" w:rsidRDefault="00E509C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8.</w:t>
            </w:r>
            <w:r>
              <w:rPr>
                <w:rFonts w:ascii="宋体" w:eastAsia="宋体" w:hAnsi="宋体" w:cs="宋体" w:hint="eastAsia"/>
                <w:snapToGrid/>
                <w:sz w:val="20"/>
              </w:rPr>
              <w:t>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r>
      <w:tr w:rsidR="00D66989" w:rsidTr="00201CF1">
        <w:trPr>
          <w:jc w:val="center"/>
        </w:trPr>
        <w:tc>
          <w:tcPr>
            <w:tcW w:w="0" w:type="auto"/>
            <w:vMerge/>
            <w:tcBorders>
              <w:top w:val="nil"/>
              <w:left w:val="single" w:sz="8" w:space="0" w:color="auto"/>
              <w:bottom w:val="inset" w:sz="8" w:space="0" w:color="auto"/>
              <w:right w:val="single" w:sz="8" w:space="0" w:color="auto"/>
            </w:tcBorders>
            <w:vAlign w:val="center"/>
          </w:tcPr>
          <w:p w:rsidR="00D66989" w:rsidRDefault="00D66989">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D66989" w:rsidRDefault="00E509C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66989" w:rsidRDefault="00E509C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w:t>
            </w:r>
            <w:r>
              <w:rPr>
                <w:rFonts w:ascii="宋体" w:eastAsia="宋体" w:hAnsi="宋体" w:cs="宋体" w:hint="eastAsia"/>
                <w:snapToGrid/>
                <w:sz w:val="20"/>
              </w:rPr>
              <w:t>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201CF1"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201CF1"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r>
      <w:tr w:rsidR="00D66989" w:rsidTr="00201CF1">
        <w:trPr>
          <w:jc w:val="center"/>
        </w:trPr>
        <w:tc>
          <w:tcPr>
            <w:tcW w:w="0" w:type="auto"/>
            <w:vMerge/>
            <w:tcBorders>
              <w:top w:val="nil"/>
              <w:left w:val="single" w:sz="8" w:space="0" w:color="auto"/>
              <w:bottom w:val="inset" w:sz="8" w:space="0" w:color="auto"/>
              <w:right w:val="single" w:sz="8" w:space="0" w:color="auto"/>
            </w:tcBorders>
            <w:vAlign w:val="center"/>
          </w:tcPr>
          <w:p w:rsidR="00D66989" w:rsidRDefault="00D66989">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D66989" w:rsidRDefault="00D66989">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66989" w:rsidRDefault="00E509C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w:t>
            </w:r>
            <w:r>
              <w:rPr>
                <w:rFonts w:ascii="宋体" w:eastAsia="宋体" w:hAnsi="宋体" w:cs="宋体" w:hint="eastAsia"/>
                <w:snapToGrid/>
                <w:sz w:val="20"/>
              </w:rPr>
              <w:t>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201CF1"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3</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201CF1"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3</w:t>
            </w:r>
          </w:p>
        </w:tc>
      </w:tr>
      <w:tr w:rsidR="00D66989" w:rsidTr="00201CF1">
        <w:trPr>
          <w:jc w:val="center"/>
        </w:trPr>
        <w:tc>
          <w:tcPr>
            <w:tcW w:w="0" w:type="auto"/>
            <w:vMerge/>
            <w:tcBorders>
              <w:top w:val="nil"/>
              <w:left w:val="single" w:sz="8" w:space="0" w:color="auto"/>
              <w:bottom w:val="inset" w:sz="8" w:space="0" w:color="auto"/>
              <w:right w:val="single" w:sz="8" w:space="0" w:color="auto"/>
            </w:tcBorders>
            <w:vAlign w:val="center"/>
          </w:tcPr>
          <w:p w:rsidR="00D66989" w:rsidRDefault="00D66989">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D66989" w:rsidRDefault="00D66989">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66989" w:rsidRDefault="00E509C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w:t>
            </w:r>
            <w:r>
              <w:rPr>
                <w:rFonts w:ascii="宋体" w:eastAsia="宋体" w:hAnsi="宋体" w:cs="宋体" w:hint="eastAsia"/>
                <w:snapToGrid/>
                <w:sz w:val="20"/>
              </w:rPr>
              <w:t>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r>
      <w:tr w:rsidR="00D66989" w:rsidTr="00201CF1">
        <w:trPr>
          <w:jc w:val="center"/>
        </w:trPr>
        <w:tc>
          <w:tcPr>
            <w:tcW w:w="0" w:type="auto"/>
            <w:vMerge/>
            <w:tcBorders>
              <w:top w:val="nil"/>
              <w:left w:val="single" w:sz="8" w:space="0" w:color="auto"/>
              <w:bottom w:val="inset" w:sz="8" w:space="0" w:color="auto"/>
              <w:right w:val="single" w:sz="8" w:space="0" w:color="auto"/>
            </w:tcBorders>
            <w:vAlign w:val="center"/>
          </w:tcPr>
          <w:p w:rsidR="00D66989" w:rsidRDefault="00D66989">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D66989" w:rsidRDefault="00E509C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（五）</w:t>
            </w:r>
            <w:proofErr w:type="gramStart"/>
            <w:r>
              <w:rPr>
                <w:rFonts w:ascii="宋体" w:eastAsia="宋体" w:hAnsi="宋体" w:cs="宋体" w:hint="eastAsia"/>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66989" w:rsidRDefault="00E509C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w:t>
            </w:r>
            <w:r>
              <w:rPr>
                <w:rFonts w:ascii="宋体" w:eastAsia="宋体" w:hAnsi="宋体" w:cs="宋体" w:hint="eastAsia"/>
                <w:snapToGrid/>
                <w:sz w:val="20"/>
              </w:rPr>
              <w:t>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r>
      <w:tr w:rsidR="00D66989" w:rsidTr="00201CF1">
        <w:trPr>
          <w:jc w:val="center"/>
        </w:trPr>
        <w:tc>
          <w:tcPr>
            <w:tcW w:w="0" w:type="auto"/>
            <w:vMerge/>
            <w:tcBorders>
              <w:top w:val="nil"/>
              <w:left w:val="single" w:sz="8" w:space="0" w:color="auto"/>
              <w:bottom w:val="inset" w:sz="8" w:space="0" w:color="auto"/>
              <w:right w:val="single" w:sz="8" w:space="0" w:color="auto"/>
            </w:tcBorders>
            <w:vAlign w:val="center"/>
          </w:tcPr>
          <w:p w:rsidR="00D66989" w:rsidRDefault="00D66989">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D66989" w:rsidRDefault="00D66989">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66989" w:rsidRDefault="00E509C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w:t>
            </w:r>
            <w:r>
              <w:rPr>
                <w:rFonts w:ascii="宋体" w:eastAsia="宋体" w:hAnsi="宋体" w:cs="宋体" w:hint="eastAsia"/>
                <w:snapToGrid/>
                <w:sz w:val="20"/>
              </w:rPr>
              <w:t>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r>
      <w:tr w:rsidR="00D66989" w:rsidTr="00201CF1">
        <w:trPr>
          <w:jc w:val="center"/>
        </w:trPr>
        <w:tc>
          <w:tcPr>
            <w:tcW w:w="0" w:type="auto"/>
            <w:vMerge/>
            <w:tcBorders>
              <w:top w:val="nil"/>
              <w:left w:val="single" w:sz="8" w:space="0" w:color="auto"/>
              <w:bottom w:val="inset" w:sz="8" w:space="0" w:color="auto"/>
              <w:right w:val="single" w:sz="8" w:space="0" w:color="auto"/>
            </w:tcBorders>
            <w:vAlign w:val="center"/>
          </w:tcPr>
          <w:p w:rsidR="00D66989" w:rsidRDefault="00D66989">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D66989" w:rsidRDefault="00D66989">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66989" w:rsidRDefault="00E509C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w:t>
            </w:r>
            <w:r>
              <w:rPr>
                <w:rFonts w:ascii="宋体" w:eastAsia="宋体" w:hAnsi="宋体" w:cs="宋体" w:hint="eastAsia"/>
                <w:snapToGrid/>
                <w:sz w:val="20"/>
              </w:rPr>
              <w:t>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r>
      <w:tr w:rsidR="00D66989" w:rsidTr="00201CF1">
        <w:trPr>
          <w:jc w:val="center"/>
        </w:trPr>
        <w:tc>
          <w:tcPr>
            <w:tcW w:w="0" w:type="auto"/>
            <w:vMerge/>
            <w:tcBorders>
              <w:top w:val="nil"/>
              <w:left w:val="single" w:sz="8" w:space="0" w:color="auto"/>
              <w:bottom w:val="inset" w:sz="8" w:space="0" w:color="auto"/>
              <w:right w:val="single" w:sz="8" w:space="0" w:color="auto"/>
            </w:tcBorders>
            <w:vAlign w:val="center"/>
          </w:tcPr>
          <w:p w:rsidR="00D66989" w:rsidRDefault="00D66989">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D66989" w:rsidRDefault="00D66989">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66989" w:rsidRDefault="00E509C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w:t>
            </w:r>
            <w:r>
              <w:rPr>
                <w:rFonts w:ascii="宋体" w:eastAsia="宋体" w:hAnsi="宋体" w:cs="宋体" w:hint="eastAsia"/>
                <w:snapToGrid/>
                <w:sz w:val="20"/>
              </w:rPr>
              <w:t>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r>
      <w:tr w:rsidR="00D66989" w:rsidTr="00201CF1">
        <w:trPr>
          <w:trHeight w:val="779"/>
          <w:jc w:val="center"/>
        </w:trPr>
        <w:tc>
          <w:tcPr>
            <w:tcW w:w="0" w:type="auto"/>
            <w:vMerge/>
            <w:tcBorders>
              <w:top w:val="nil"/>
              <w:left w:val="single" w:sz="8" w:space="0" w:color="auto"/>
              <w:bottom w:val="inset" w:sz="8" w:space="0" w:color="auto"/>
              <w:right w:val="single" w:sz="8" w:space="0" w:color="auto"/>
            </w:tcBorders>
            <w:vAlign w:val="center"/>
          </w:tcPr>
          <w:p w:rsidR="00D66989" w:rsidRDefault="00D66989">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D66989" w:rsidRDefault="00D66989">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D66989" w:rsidRDefault="00E509CF">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5.</w:t>
            </w:r>
            <w:r>
              <w:rPr>
                <w:rFonts w:ascii="宋体" w:eastAsia="宋体" w:hAnsi="宋体" w:cs="宋体" w:hint="eastAsia"/>
                <w:snapToGrid/>
                <w:sz w:val="20"/>
              </w:rPr>
              <w:t>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r>
      <w:tr w:rsidR="00D66989" w:rsidTr="00201CF1">
        <w:trPr>
          <w:jc w:val="center"/>
        </w:trPr>
        <w:tc>
          <w:tcPr>
            <w:tcW w:w="0" w:type="auto"/>
            <w:vMerge/>
            <w:tcBorders>
              <w:top w:val="nil"/>
              <w:left w:val="single" w:sz="8" w:space="0" w:color="auto"/>
              <w:bottom w:val="inset" w:sz="8" w:space="0" w:color="auto"/>
              <w:right w:val="single" w:sz="8" w:space="0" w:color="auto"/>
            </w:tcBorders>
            <w:vAlign w:val="center"/>
          </w:tcPr>
          <w:p w:rsidR="00D66989" w:rsidRDefault="00D66989">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D66989" w:rsidRDefault="00E509C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Default="00E509CF">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1.</w:t>
            </w:r>
            <w:r>
              <w:rPr>
                <w:rFonts w:ascii="宋体" w:eastAsia="宋体" w:hAnsi="宋体" w:cs="宋体" w:hint="eastAsia"/>
                <w:snapToGrid/>
                <w:sz w:val="20"/>
              </w:rPr>
              <w:t>申请人无正当理由逾期</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补正、行政机关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r>
      <w:tr w:rsidR="00D66989" w:rsidTr="00201CF1">
        <w:trPr>
          <w:jc w:val="center"/>
        </w:trPr>
        <w:tc>
          <w:tcPr>
            <w:tcW w:w="0" w:type="auto"/>
            <w:vMerge/>
            <w:tcBorders>
              <w:top w:val="nil"/>
              <w:left w:val="single" w:sz="8" w:space="0" w:color="auto"/>
              <w:bottom w:val="inset" w:sz="8" w:space="0" w:color="auto"/>
              <w:right w:val="single" w:sz="8" w:space="0" w:color="auto"/>
            </w:tcBorders>
            <w:vAlign w:val="center"/>
          </w:tcPr>
          <w:p w:rsidR="00D66989" w:rsidRDefault="00D66989">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D66989" w:rsidRDefault="00D66989">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Default="00E509CF">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2.</w:t>
            </w:r>
            <w:r>
              <w:rPr>
                <w:rFonts w:ascii="宋体" w:eastAsia="宋体" w:hAnsi="宋体" w:cs="宋体" w:hint="eastAsia"/>
                <w:snapToGrid/>
                <w:sz w:val="20"/>
              </w:rPr>
              <w:t>申请人逾期未按收费通知要求缴纳费用、行政机关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r>
      <w:tr w:rsidR="00D66989" w:rsidTr="00201CF1">
        <w:trPr>
          <w:jc w:val="center"/>
        </w:trPr>
        <w:tc>
          <w:tcPr>
            <w:tcW w:w="0" w:type="auto"/>
            <w:vMerge/>
            <w:tcBorders>
              <w:top w:val="nil"/>
              <w:left w:val="single" w:sz="8" w:space="0" w:color="auto"/>
              <w:bottom w:val="inset" w:sz="8" w:space="0" w:color="auto"/>
              <w:right w:val="single" w:sz="8" w:space="0" w:color="auto"/>
            </w:tcBorders>
            <w:vAlign w:val="center"/>
          </w:tcPr>
          <w:p w:rsidR="00D66989" w:rsidRDefault="00D66989">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D66989" w:rsidRDefault="00D66989">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Default="00E509C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w:t>
            </w:r>
            <w:r>
              <w:rPr>
                <w:rFonts w:ascii="宋体" w:eastAsia="宋体" w:hAnsi="宋体" w:cs="宋体" w:hint="eastAsia"/>
                <w:snapToGrid/>
                <w:sz w:val="20"/>
              </w:rPr>
              <w:t>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r>
      <w:tr w:rsidR="00D66989" w:rsidTr="00201CF1">
        <w:trPr>
          <w:jc w:val="center"/>
        </w:trPr>
        <w:tc>
          <w:tcPr>
            <w:tcW w:w="0" w:type="auto"/>
            <w:vMerge/>
            <w:tcBorders>
              <w:top w:val="nil"/>
              <w:left w:val="single" w:sz="8" w:space="0" w:color="auto"/>
              <w:bottom w:val="inset" w:sz="8" w:space="0" w:color="auto"/>
              <w:right w:val="single" w:sz="8" w:space="0" w:color="auto"/>
            </w:tcBorders>
            <w:vAlign w:val="center"/>
          </w:tcPr>
          <w:p w:rsidR="00D66989" w:rsidRDefault="00D66989">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D66989" w:rsidRDefault="00E509C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201CF1"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4</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201CF1"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4</w:t>
            </w:r>
          </w:p>
        </w:tc>
      </w:tr>
      <w:tr w:rsidR="00D66989" w:rsidTr="00201CF1">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D66989" w:rsidRDefault="00E509C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r>
    </w:tbl>
    <w:p w:rsidR="00D66989" w:rsidRDefault="00D66989">
      <w:pPr>
        <w:spacing w:line="240" w:lineRule="auto"/>
        <w:ind w:firstLineChars="200" w:firstLine="600"/>
        <w:rPr>
          <w:rFonts w:ascii="黑体" w:eastAsia="黑体" w:hAnsi="黑体"/>
          <w:sz w:val="30"/>
          <w:szCs w:val="30"/>
        </w:rPr>
      </w:pPr>
    </w:p>
    <w:p w:rsidR="00D66989" w:rsidRDefault="00D66989">
      <w:pPr>
        <w:spacing w:line="240" w:lineRule="auto"/>
        <w:ind w:firstLineChars="200" w:firstLine="600"/>
        <w:rPr>
          <w:rFonts w:ascii="黑体" w:eastAsia="黑体" w:hAnsi="黑体"/>
          <w:sz w:val="30"/>
          <w:szCs w:val="30"/>
        </w:rPr>
      </w:pPr>
    </w:p>
    <w:p w:rsidR="00D66989" w:rsidRDefault="00D66989">
      <w:pPr>
        <w:spacing w:line="240" w:lineRule="auto"/>
        <w:ind w:firstLineChars="200" w:firstLine="600"/>
        <w:rPr>
          <w:rFonts w:ascii="黑体" w:eastAsia="黑体" w:hAnsi="黑体"/>
          <w:sz w:val="30"/>
          <w:szCs w:val="30"/>
        </w:rPr>
      </w:pPr>
    </w:p>
    <w:p w:rsidR="00D66989" w:rsidRDefault="00D66989">
      <w:pPr>
        <w:spacing w:line="240" w:lineRule="auto"/>
        <w:ind w:firstLineChars="200" w:firstLine="600"/>
        <w:rPr>
          <w:rFonts w:ascii="黑体" w:eastAsia="黑体" w:hAnsi="黑体"/>
          <w:sz w:val="30"/>
          <w:szCs w:val="30"/>
        </w:rPr>
      </w:pPr>
    </w:p>
    <w:p w:rsidR="00D66989" w:rsidRDefault="00E509CF">
      <w:pPr>
        <w:spacing w:line="560" w:lineRule="exact"/>
        <w:ind w:firstLineChars="200" w:firstLine="640"/>
        <w:rPr>
          <w:rFonts w:ascii="黑体" w:eastAsia="黑体" w:hAnsi="黑体"/>
          <w:szCs w:val="32"/>
        </w:rPr>
      </w:pPr>
      <w:r>
        <w:rPr>
          <w:rFonts w:ascii="黑体" w:eastAsia="黑体" w:hAnsi="黑体" w:hint="eastAsia"/>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D66989">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66989" w:rsidRDefault="00E509C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66989" w:rsidRDefault="00E509C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行政诉讼</w:t>
            </w:r>
          </w:p>
        </w:tc>
      </w:tr>
      <w:tr w:rsidR="00D66989">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66989" w:rsidRDefault="00E509C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66989" w:rsidRDefault="00E509C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r>
            <w:r>
              <w:rPr>
                <w:rFonts w:ascii="宋体" w:eastAsia="宋体" w:hAnsi="宋体" w:cs="宋体" w:hint="eastAsia"/>
                <w:snapToGrid/>
                <w:sz w:val="20"/>
              </w:rP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66989" w:rsidRDefault="00E509C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r>
            <w:r>
              <w:rPr>
                <w:rFonts w:ascii="宋体" w:eastAsia="宋体" w:hAnsi="宋体" w:cs="宋体" w:hint="eastAsia"/>
                <w:snapToGrid/>
                <w:sz w:val="20"/>
              </w:rP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66989" w:rsidRDefault="00E509C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r>
            <w:r>
              <w:rPr>
                <w:rFonts w:ascii="宋体" w:eastAsia="宋体" w:hAnsi="宋体" w:cs="宋体" w:hint="eastAsia"/>
                <w:snapToGrid/>
                <w:sz w:val="20"/>
              </w:rP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66989" w:rsidRDefault="00E509C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66989" w:rsidRDefault="00E509C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66989" w:rsidRDefault="00E509C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复议后起诉</w:t>
            </w:r>
          </w:p>
        </w:tc>
      </w:tr>
      <w:tr w:rsidR="00D66989">
        <w:trPr>
          <w:jc w:val="center"/>
        </w:trPr>
        <w:tc>
          <w:tcPr>
            <w:tcW w:w="0" w:type="auto"/>
            <w:vMerge/>
            <w:tcBorders>
              <w:top w:val="nil"/>
              <w:left w:val="single" w:sz="8" w:space="0" w:color="auto"/>
              <w:bottom w:val="single" w:sz="8" w:space="0" w:color="auto"/>
              <w:right w:val="single" w:sz="8" w:space="0" w:color="auto"/>
            </w:tcBorders>
            <w:vAlign w:val="center"/>
          </w:tcPr>
          <w:p w:rsidR="00D66989" w:rsidRDefault="00D66989">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D66989" w:rsidRDefault="00D66989">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D66989" w:rsidRDefault="00D66989">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D66989" w:rsidRDefault="00D66989">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D66989" w:rsidRDefault="00D66989">
            <w:pPr>
              <w:widowControl/>
              <w:autoSpaceDE/>
              <w:autoSpaceDN/>
              <w:snapToGrid/>
              <w:spacing w:line="240" w:lineRule="auto"/>
              <w:ind w:firstLine="0"/>
              <w:jc w:val="left"/>
              <w:rPr>
                <w:rFonts w:ascii="宋体" w:eastAsia="宋体" w:hAnsi="宋体" w:cs="宋体"/>
                <w:snapToGrid/>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66989" w:rsidRDefault="00E509C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r>
            <w:r>
              <w:rPr>
                <w:rFonts w:ascii="宋体" w:eastAsia="宋体" w:hAnsi="宋体" w:cs="宋体" w:hint="eastAsia"/>
                <w:snapToGrid/>
                <w:sz w:val="20"/>
              </w:rP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66989" w:rsidRDefault="00E509C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r>
            <w:r>
              <w:rPr>
                <w:rFonts w:ascii="宋体" w:eastAsia="宋体" w:hAnsi="宋体" w:cs="宋体" w:hint="eastAsia"/>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66989" w:rsidRDefault="00E509C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r>
            <w:r>
              <w:rPr>
                <w:rFonts w:ascii="宋体" w:eastAsia="宋体" w:hAnsi="宋体" w:cs="宋体" w:hint="eastAsia"/>
                <w:snapToGrid/>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66989" w:rsidRDefault="00E509C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r>
            <w:r>
              <w:rPr>
                <w:rFonts w:ascii="宋体" w:eastAsia="宋体" w:hAnsi="宋体" w:cs="宋体" w:hint="eastAsia"/>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66989" w:rsidRDefault="00E509C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66989" w:rsidRDefault="00E509C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r>
            <w:r>
              <w:rPr>
                <w:rFonts w:ascii="宋体" w:eastAsia="宋体" w:hAnsi="宋体" w:cs="宋体" w:hint="eastAsia"/>
                <w:snapToGrid/>
                <w:sz w:val="20"/>
              </w:rP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66989" w:rsidRDefault="00E509C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r>
            <w:r>
              <w:rPr>
                <w:rFonts w:ascii="宋体" w:eastAsia="宋体" w:hAnsi="宋体" w:cs="宋体" w:hint="eastAsia"/>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66989" w:rsidRDefault="00E509C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其他</w:t>
            </w:r>
            <w:r>
              <w:rPr>
                <w:rFonts w:ascii="宋体" w:eastAsia="宋体" w:hAnsi="宋体" w:cs="宋体" w:hint="eastAsia"/>
                <w:snapToGrid/>
                <w:color w:val="000000"/>
                <w:sz w:val="20"/>
              </w:rPr>
              <w:br/>
            </w:r>
            <w:r>
              <w:rPr>
                <w:rFonts w:ascii="宋体" w:eastAsia="宋体" w:hAnsi="宋体" w:cs="宋体" w:hint="eastAsia"/>
                <w:snapToGrid/>
                <w:color w:val="000000"/>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66989" w:rsidRDefault="00E509C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r>
            <w:r>
              <w:rPr>
                <w:rFonts w:ascii="宋体" w:eastAsia="宋体" w:hAnsi="宋体" w:cs="宋体" w:hint="eastAsia"/>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66989" w:rsidRDefault="00E509C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r>
      <w:tr w:rsidR="00D66989" w:rsidTr="00201CF1">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66989" w:rsidRPr="00201CF1" w:rsidRDefault="00E509CF" w:rsidP="00201CF1">
            <w:pPr>
              <w:widowControl/>
              <w:autoSpaceDE/>
              <w:autoSpaceDN/>
              <w:snapToGrid/>
              <w:spacing w:line="240" w:lineRule="auto"/>
              <w:ind w:firstLine="0"/>
              <w:jc w:val="center"/>
              <w:rPr>
                <w:rFonts w:ascii="宋体" w:eastAsia="宋体" w:hAnsi="宋体" w:cs="宋体"/>
                <w:snapToGrid/>
                <w:sz w:val="20"/>
              </w:rPr>
            </w:pPr>
            <w:r w:rsidRPr="00201CF1">
              <w:rPr>
                <w:rFonts w:ascii="宋体" w:eastAsia="宋体" w:hAnsi="宋体" w:cs="宋体" w:hint="eastAsia"/>
                <w:snapToGrid/>
                <w:sz w:val="20"/>
              </w:rPr>
              <w:t>0</w:t>
            </w:r>
          </w:p>
        </w:tc>
      </w:tr>
    </w:tbl>
    <w:p w:rsidR="00D66989" w:rsidRDefault="00D66989">
      <w:pPr>
        <w:spacing w:line="240" w:lineRule="auto"/>
        <w:ind w:firstLineChars="200" w:firstLine="640"/>
        <w:rPr>
          <w:rFonts w:ascii="黑体" w:eastAsia="黑体" w:hAnsi="黑体"/>
          <w:szCs w:val="32"/>
        </w:rPr>
      </w:pPr>
    </w:p>
    <w:p w:rsidR="00D66989" w:rsidRDefault="00E509CF">
      <w:pPr>
        <w:spacing w:line="560" w:lineRule="exact"/>
        <w:ind w:firstLineChars="200" w:firstLine="640"/>
        <w:rPr>
          <w:rFonts w:ascii="黑体" w:eastAsia="黑体" w:hAnsi="黑体"/>
          <w:szCs w:val="32"/>
        </w:rPr>
      </w:pPr>
      <w:r>
        <w:rPr>
          <w:rFonts w:ascii="黑体" w:eastAsia="黑体" w:hAnsi="黑体" w:hint="eastAsia"/>
          <w:szCs w:val="32"/>
        </w:rPr>
        <w:t>五、存在的主要问题及改进情况</w:t>
      </w:r>
    </w:p>
    <w:p w:rsidR="00D66989" w:rsidRDefault="00E509CF">
      <w:pPr>
        <w:spacing w:line="560" w:lineRule="exact"/>
        <w:ind w:firstLineChars="200" w:firstLine="640"/>
        <w:rPr>
          <w:rFonts w:ascii="楷体_GB2312" w:eastAsia="楷体_GB2312" w:hint="eastAsia"/>
          <w:szCs w:val="32"/>
        </w:rPr>
      </w:pPr>
      <w:r>
        <w:rPr>
          <w:rFonts w:ascii="楷体_GB2312" w:eastAsia="楷体_GB2312" w:hint="eastAsia"/>
          <w:szCs w:val="32"/>
        </w:rPr>
        <w:t>（一）存在问题</w:t>
      </w:r>
    </w:p>
    <w:p w:rsidR="00AD7D4A" w:rsidRDefault="00ED3A65">
      <w:pPr>
        <w:spacing w:line="560" w:lineRule="exact"/>
        <w:ind w:firstLineChars="200" w:firstLine="640"/>
        <w:rPr>
          <w:rFonts w:ascii="仿宋_GB2312" w:eastAsia="仿宋_GB2312" w:hint="eastAsia"/>
        </w:rPr>
      </w:pPr>
      <w:r w:rsidRPr="00ED3A65">
        <w:rPr>
          <w:rFonts w:ascii="仿宋_GB2312" w:eastAsia="仿宋_GB2312" w:hint="eastAsia"/>
        </w:rPr>
        <w:t>2022年政府信息公开工作取得了一定成效，还还存在一些问题，主要表现在：</w:t>
      </w:r>
      <w:r w:rsidR="00E509CF">
        <w:rPr>
          <w:rFonts w:ascii="仿宋_GB2312" w:eastAsia="仿宋_GB2312" w:hint="eastAsia"/>
        </w:rPr>
        <w:t>一是</w:t>
      </w:r>
      <w:r w:rsidR="00AD7D4A">
        <w:rPr>
          <w:rFonts w:ascii="仿宋_GB2312" w:eastAsia="仿宋_GB2312" w:hint="eastAsia"/>
        </w:rPr>
        <w:t>信息公开质量不高，还存在只重视信息数量，不重视信息质量的问题。</w:t>
      </w:r>
      <w:r>
        <w:rPr>
          <w:rFonts w:ascii="仿宋_GB2312" w:eastAsia="仿宋_GB2312" w:hint="eastAsia"/>
        </w:rPr>
        <w:t>二是回应群众关切有待进一步加强，例如对群众反映较多的城市管理、综合执法等方面的问题有时存在回应不及时的问题。</w:t>
      </w:r>
    </w:p>
    <w:p w:rsidR="00D66989" w:rsidRDefault="00E509CF">
      <w:pPr>
        <w:spacing w:line="560" w:lineRule="exact"/>
        <w:ind w:firstLineChars="200" w:firstLine="640"/>
        <w:rPr>
          <w:rFonts w:ascii="楷体_GB2312" w:eastAsia="楷体_GB2312"/>
          <w:szCs w:val="32"/>
        </w:rPr>
      </w:pPr>
      <w:r>
        <w:rPr>
          <w:rFonts w:ascii="楷体_GB2312" w:eastAsia="楷体_GB2312" w:hint="eastAsia"/>
          <w:szCs w:val="32"/>
        </w:rPr>
        <w:t>（二）改进措施</w:t>
      </w:r>
    </w:p>
    <w:p w:rsidR="00ED3A65" w:rsidRDefault="00ED3A65" w:rsidP="00ED3A65">
      <w:pPr>
        <w:spacing w:line="560" w:lineRule="exact"/>
        <w:ind w:firstLineChars="200" w:firstLine="640"/>
        <w:rPr>
          <w:rFonts w:ascii="仿宋_GB2312" w:eastAsia="仿宋_GB2312" w:hint="eastAsia"/>
        </w:rPr>
      </w:pPr>
      <w:r>
        <w:rPr>
          <w:rFonts w:ascii="仿宋_GB2312" w:eastAsia="仿宋_GB2312" w:hint="eastAsia"/>
        </w:rPr>
        <w:t>一是提高政府信息“含金量”，认真研究上级政务公开要点，严格按照重点领域基层政务公开标准目录、政府信息主动公开基本目录要求公开信息，特别是严格规范信息公开内容，该公开的及时公开，推动信息公开向提高质量转变。</w:t>
      </w:r>
    </w:p>
    <w:p w:rsidR="00ED3A65" w:rsidRPr="00AD7D4A" w:rsidRDefault="00ED3A65" w:rsidP="00ED3A65">
      <w:pPr>
        <w:spacing w:line="560" w:lineRule="exact"/>
        <w:ind w:firstLineChars="200" w:firstLine="640"/>
        <w:rPr>
          <w:rFonts w:ascii="仿宋_GB2312" w:eastAsia="仿宋_GB2312" w:hint="eastAsia"/>
        </w:rPr>
      </w:pPr>
      <w:r>
        <w:rPr>
          <w:rFonts w:ascii="仿宋_GB2312" w:eastAsia="仿宋_GB2312" w:hint="eastAsia"/>
        </w:rPr>
        <w:t>二是进一步加大回应关切力度，通过开展“政府开放日”“政务公开日”等活动，主动听取群众意见建议，深入了解群众需求和关心问题。同时，对于收到的群众留言、12345投诉件等，严格按照规定时限予以答复，并规范答复内容，逐项</w:t>
      </w:r>
      <w:proofErr w:type="gramStart"/>
      <w:r>
        <w:rPr>
          <w:rFonts w:ascii="仿宋_GB2312" w:eastAsia="仿宋_GB2312" w:hint="eastAsia"/>
        </w:rPr>
        <w:t>作出</w:t>
      </w:r>
      <w:proofErr w:type="gramEnd"/>
      <w:r>
        <w:rPr>
          <w:rFonts w:ascii="仿宋_GB2312" w:eastAsia="仿宋_GB2312" w:hint="eastAsia"/>
        </w:rPr>
        <w:t>回复，解答群众疑惑，提高群众满意度。</w:t>
      </w:r>
    </w:p>
    <w:p w:rsidR="00D66989" w:rsidRDefault="00E509CF">
      <w:pPr>
        <w:spacing w:line="560" w:lineRule="exact"/>
        <w:ind w:firstLineChars="200" w:firstLine="640"/>
        <w:rPr>
          <w:rFonts w:ascii="黑体" w:eastAsia="黑体" w:hAnsi="黑体"/>
          <w:szCs w:val="32"/>
        </w:rPr>
      </w:pPr>
      <w:r>
        <w:rPr>
          <w:rFonts w:ascii="黑体" w:eastAsia="黑体" w:hAnsi="黑体" w:hint="eastAsia"/>
          <w:szCs w:val="32"/>
        </w:rPr>
        <w:t>六、其他需要报告的事项</w:t>
      </w:r>
    </w:p>
    <w:p w:rsidR="00D66989" w:rsidRDefault="00E509CF">
      <w:pPr>
        <w:spacing w:line="560" w:lineRule="exact"/>
        <w:ind w:firstLineChars="200" w:firstLine="640"/>
        <w:rPr>
          <w:rFonts w:ascii="楷体_GB2312" w:eastAsia="楷体_GB2312"/>
          <w:szCs w:val="32"/>
        </w:rPr>
      </w:pPr>
      <w:r>
        <w:rPr>
          <w:rFonts w:ascii="楷体_GB2312" w:eastAsia="楷体_GB2312" w:hint="eastAsia"/>
          <w:szCs w:val="32"/>
        </w:rPr>
        <w:t>（一）政府信息公开信息处理费收取情况</w:t>
      </w:r>
    </w:p>
    <w:p w:rsidR="00D66989" w:rsidRDefault="00E509CF">
      <w:pPr>
        <w:spacing w:line="560" w:lineRule="exact"/>
        <w:ind w:firstLineChars="200" w:firstLine="640"/>
        <w:rPr>
          <w:rFonts w:ascii="仿宋_GB2312" w:eastAsia="仿宋_GB2312"/>
        </w:rPr>
      </w:pPr>
      <w:r>
        <w:rPr>
          <w:rFonts w:ascii="仿宋_GB2312" w:eastAsia="仿宋_GB2312" w:hint="eastAsia"/>
        </w:rPr>
        <w:lastRenderedPageBreak/>
        <w:t>本机关依申请提供政府信息，根据《国务院办公厅关于印发</w:t>
      </w:r>
      <w:r>
        <w:rPr>
          <w:rFonts w:ascii="仿宋_GB2312" w:eastAsia="仿宋_GB2312" w:hint="eastAsia"/>
        </w:rPr>
        <w:t>&lt;</w:t>
      </w:r>
      <w:r>
        <w:rPr>
          <w:rFonts w:ascii="仿宋_GB2312" w:eastAsia="仿宋_GB2312" w:hint="eastAsia"/>
        </w:rPr>
        <w:t>政府信息公开信息处理费管理办法</w:t>
      </w:r>
      <w:r>
        <w:rPr>
          <w:rFonts w:ascii="仿宋_GB2312" w:eastAsia="仿宋_GB2312" w:hint="eastAsia"/>
        </w:rPr>
        <w:t>&gt;</w:t>
      </w:r>
      <w:r>
        <w:rPr>
          <w:rFonts w:ascii="仿宋_GB2312" w:eastAsia="仿宋_GB2312" w:hint="eastAsia"/>
        </w:rPr>
        <w:t>的通知》（国办函〔</w:t>
      </w:r>
      <w:r>
        <w:rPr>
          <w:rFonts w:ascii="仿宋_GB2312" w:eastAsia="仿宋_GB2312" w:hint="eastAsia"/>
        </w:rPr>
        <w:t>2020</w:t>
      </w:r>
      <w:r>
        <w:rPr>
          <w:rFonts w:ascii="仿宋_GB2312" w:eastAsia="仿宋_GB2312" w:hint="eastAsia"/>
        </w:rPr>
        <w:t>〕</w:t>
      </w:r>
      <w:r>
        <w:rPr>
          <w:rFonts w:ascii="仿宋_GB2312" w:eastAsia="仿宋_GB2312" w:hint="eastAsia"/>
        </w:rPr>
        <w:t>109</w:t>
      </w:r>
      <w:r>
        <w:rPr>
          <w:rFonts w:ascii="仿宋_GB2312" w:eastAsia="仿宋_GB2312" w:hint="eastAsia"/>
        </w:rPr>
        <w:t>号）和《山东省人民政府办公厅关于做好政府信息公开信息处理费管理工作有关事项的通知》（鲁政办字〔</w:t>
      </w:r>
      <w:r>
        <w:rPr>
          <w:rFonts w:ascii="仿宋_GB2312" w:eastAsia="仿宋_GB2312" w:hint="eastAsia"/>
        </w:rPr>
        <w:t>2020</w:t>
      </w:r>
      <w:r>
        <w:rPr>
          <w:rFonts w:ascii="仿宋_GB2312" w:eastAsia="仿宋_GB2312" w:hint="eastAsia"/>
        </w:rPr>
        <w:t>〕</w:t>
      </w:r>
      <w:r>
        <w:rPr>
          <w:rFonts w:ascii="仿宋_GB2312" w:eastAsia="仿宋_GB2312" w:hint="eastAsia"/>
        </w:rPr>
        <w:t>179</w:t>
      </w:r>
      <w:r>
        <w:rPr>
          <w:rFonts w:ascii="仿宋_GB2312" w:eastAsia="仿宋_GB2312" w:hint="eastAsia"/>
        </w:rPr>
        <w:t>号）收取信息处理费。</w:t>
      </w:r>
      <w:r>
        <w:rPr>
          <w:rFonts w:ascii="仿宋_GB2312" w:eastAsia="仿宋_GB2312" w:hint="eastAsia"/>
        </w:rPr>
        <w:t>2022</w:t>
      </w:r>
      <w:r>
        <w:rPr>
          <w:rFonts w:ascii="仿宋_GB2312" w:eastAsia="仿宋_GB2312" w:hint="eastAsia"/>
        </w:rPr>
        <w:t>年本机关依申请公开政府信息未收取任何费用。</w:t>
      </w:r>
    </w:p>
    <w:p w:rsidR="00D66989" w:rsidRDefault="00E509CF">
      <w:pPr>
        <w:spacing w:line="560" w:lineRule="exact"/>
        <w:ind w:firstLineChars="200" w:firstLine="640"/>
        <w:rPr>
          <w:rFonts w:ascii="楷体_GB2312" w:eastAsia="楷体_GB2312"/>
          <w:szCs w:val="32"/>
        </w:rPr>
      </w:pPr>
      <w:r>
        <w:rPr>
          <w:rFonts w:ascii="楷体_GB2312" w:eastAsia="楷体_GB2312" w:hint="eastAsia"/>
          <w:szCs w:val="32"/>
        </w:rPr>
        <w:t>（二）落实上级年度政务公开工作要点情况</w:t>
      </w:r>
    </w:p>
    <w:p w:rsidR="00D66989" w:rsidRDefault="00E509CF">
      <w:pPr>
        <w:spacing w:line="560" w:lineRule="exact"/>
        <w:ind w:firstLineChars="200" w:firstLine="640"/>
        <w:rPr>
          <w:rFonts w:ascii="仿宋_GB2312" w:eastAsia="仿宋_GB2312"/>
        </w:rPr>
      </w:pPr>
      <w:r>
        <w:rPr>
          <w:rFonts w:ascii="仿宋_GB2312" w:eastAsia="仿宋_GB2312" w:hint="eastAsia"/>
        </w:rPr>
        <w:t>本机关严格落实《国务院办公厅关于印发</w:t>
      </w:r>
      <w:r>
        <w:rPr>
          <w:rFonts w:ascii="仿宋_GB2312" w:eastAsia="仿宋_GB2312" w:hint="eastAsia"/>
        </w:rPr>
        <w:t>2022</w:t>
      </w:r>
      <w:r>
        <w:rPr>
          <w:rFonts w:ascii="仿宋_GB2312" w:eastAsia="仿宋_GB2312" w:hint="eastAsia"/>
        </w:rPr>
        <w:t>年政务公开工作要点的通知》《山东省人民政府办公厅关于印发</w:t>
      </w:r>
      <w:r>
        <w:rPr>
          <w:rFonts w:ascii="仿宋_GB2312" w:eastAsia="仿宋_GB2312" w:hint="eastAsia"/>
        </w:rPr>
        <w:t>2022</w:t>
      </w:r>
      <w:r>
        <w:rPr>
          <w:rFonts w:ascii="仿宋_GB2312" w:eastAsia="仿宋_GB2312" w:hint="eastAsia"/>
        </w:rPr>
        <w:t>年山东省政务公开工作要点的通知》，以及《淄博市人民政府办公室关于印发</w:t>
      </w:r>
      <w:r>
        <w:rPr>
          <w:rFonts w:ascii="仿宋_GB2312" w:eastAsia="仿宋_GB2312" w:hint="eastAsia"/>
        </w:rPr>
        <w:t>2022</w:t>
      </w:r>
      <w:r>
        <w:rPr>
          <w:rFonts w:ascii="仿宋_GB2312" w:eastAsia="仿宋_GB2312" w:hint="eastAsia"/>
        </w:rPr>
        <w:t>年淄博市政务公开工作方案的通知》《高青县人民政府办公室关于印发</w:t>
      </w:r>
      <w:r>
        <w:rPr>
          <w:rFonts w:ascii="仿宋_GB2312" w:eastAsia="仿宋_GB2312" w:hint="eastAsia"/>
        </w:rPr>
        <w:t>2022</w:t>
      </w:r>
      <w:r>
        <w:rPr>
          <w:rFonts w:ascii="仿宋_GB2312" w:eastAsia="仿宋_GB2312" w:hint="eastAsia"/>
        </w:rPr>
        <w:t>年高青县政务公开工作要点的通知》要求，扎实推进政务公开工作。</w:t>
      </w:r>
    </w:p>
    <w:p w:rsidR="00D66989" w:rsidRDefault="00E509CF">
      <w:pPr>
        <w:spacing w:line="560" w:lineRule="exact"/>
        <w:ind w:firstLineChars="200" w:firstLine="640"/>
        <w:rPr>
          <w:rFonts w:ascii="仿宋_GB2312" w:eastAsia="仿宋_GB2312"/>
        </w:rPr>
      </w:pPr>
      <w:r>
        <w:rPr>
          <w:rFonts w:ascii="仿宋_GB2312" w:eastAsia="仿宋_GB2312" w:hint="eastAsia"/>
        </w:rPr>
        <w:t>一是</w:t>
      </w:r>
      <w:r>
        <w:rPr>
          <w:rFonts w:ascii="仿宋_GB2312" w:eastAsia="仿宋_GB2312" w:hint="eastAsia"/>
        </w:rPr>
        <w:t>加强领导，完善机制。优化调整</w:t>
      </w:r>
      <w:r>
        <w:rPr>
          <w:rFonts w:ascii="仿宋_GB2312" w:eastAsia="仿宋_GB2312" w:hint="eastAsia"/>
        </w:rPr>
        <w:t>政务公开工作领导小组，进一步明确专人承担具体任务，严格按照政务公开有关要求，根据人事变动以及工作需要，及时调整充实机关政务公开工作领导小组</w:t>
      </w:r>
      <w:r>
        <w:rPr>
          <w:rFonts w:ascii="仿宋_GB2312" w:eastAsia="仿宋_GB2312" w:hint="eastAsia"/>
        </w:rPr>
        <w:t>人员</w:t>
      </w:r>
      <w:r>
        <w:rPr>
          <w:rFonts w:ascii="仿宋_GB2312" w:eastAsia="仿宋_GB2312" w:hint="eastAsia"/>
        </w:rPr>
        <w:t>，落实具体责任科室、责任人，通过健全政务信息公开组织机构，做到机构健全、人员落实、责任明确，以确保政务公开工作依法有序进行。</w:t>
      </w:r>
      <w:r>
        <w:rPr>
          <w:rFonts w:ascii="仿宋_GB2312" w:eastAsia="仿宋_GB2312" w:hint="eastAsia"/>
        </w:rPr>
        <w:t>二是</w:t>
      </w:r>
      <w:r>
        <w:rPr>
          <w:rFonts w:ascii="仿宋_GB2312" w:eastAsia="仿宋_GB2312" w:hint="eastAsia"/>
        </w:rPr>
        <w:t>强化教育培训。加强对政务公开工作人员特别是领导干部政务公开知识的培训，积极参与上级部门举办的各类业务培训，增强公开意识，提高发布信息、解读政策、回应关切的能力。强化对局属单位的指导交流，日常工作中多关注、多了解，认真整改存在的问题。年初制定政务公开业务培训计划，精心</w:t>
      </w:r>
      <w:r>
        <w:rPr>
          <w:rFonts w:ascii="仿宋_GB2312" w:eastAsia="仿宋_GB2312" w:hint="eastAsia"/>
        </w:rPr>
        <w:lastRenderedPageBreak/>
        <w:t>安排培训科目和内容。</w:t>
      </w:r>
      <w:r>
        <w:rPr>
          <w:rFonts w:ascii="仿宋_GB2312" w:eastAsia="仿宋_GB2312" w:hint="eastAsia"/>
        </w:rPr>
        <w:t>三是</w:t>
      </w:r>
      <w:r>
        <w:rPr>
          <w:rFonts w:ascii="仿宋_GB2312" w:eastAsia="仿宋_GB2312" w:hint="eastAsia"/>
        </w:rPr>
        <w:t>规范运作，严格考核。规范公开程序，严格保密审查。坚持“谁提供、谁审核、谁负责”的原则，对拟公开的内容建立保密等相应审查制度，所有拟公开的政务信息一律进行保密审查，保证公开内容的真实准确、不泄密；强化监督考核，实行严格的考核</w:t>
      </w:r>
      <w:r>
        <w:rPr>
          <w:rFonts w:ascii="仿宋_GB2312" w:eastAsia="仿宋_GB2312" w:hint="eastAsia"/>
        </w:rPr>
        <w:t>和奖惩制度，采取日常督查和专项督查相结合的方式，认真落实政务公开工作的监督考核制度的制定，机关政务公开工作领导小组定期开展政务公开工作的检查，并把政务公开工作纳入各部门年度目标考核责任制进行考核，确保各项措施落实到位，考核结果作为评先评优的一项重要依据。</w:t>
      </w:r>
    </w:p>
    <w:p w:rsidR="00D66989" w:rsidRDefault="00E509CF">
      <w:pPr>
        <w:spacing w:line="560" w:lineRule="exact"/>
        <w:ind w:firstLineChars="200" w:firstLine="640"/>
        <w:rPr>
          <w:rFonts w:ascii="楷体_GB2312" w:eastAsia="楷体_GB2312" w:hAnsi="黑体"/>
          <w:sz w:val="30"/>
          <w:szCs w:val="30"/>
        </w:rPr>
      </w:pPr>
      <w:r>
        <w:rPr>
          <w:rFonts w:ascii="楷体_GB2312" w:eastAsia="楷体_GB2312" w:hint="eastAsia"/>
          <w:szCs w:val="32"/>
        </w:rPr>
        <w:t>（三）人大代表建议和政协委员提案办理结果公开情况</w:t>
      </w:r>
    </w:p>
    <w:p w:rsidR="00D66989" w:rsidRDefault="00E509CF">
      <w:pPr>
        <w:spacing w:line="560" w:lineRule="exact"/>
        <w:ind w:firstLineChars="200" w:firstLine="640"/>
        <w:rPr>
          <w:rFonts w:ascii="仿宋_GB2312" w:eastAsia="仿宋_GB2312"/>
        </w:rPr>
      </w:pPr>
      <w:r>
        <w:rPr>
          <w:rFonts w:ascii="仿宋_GB2312" w:eastAsia="仿宋_GB2312" w:hint="eastAsia"/>
        </w:rPr>
        <w:t>2022</w:t>
      </w:r>
      <w:r>
        <w:rPr>
          <w:rFonts w:ascii="仿宋_GB2312" w:eastAsia="仿宋_GB2312" w:hint="eastAsia"/>
        </w:rPr>
        <w:t>年，本机关共</w:t>
      </w:r>
      <w:proofErr w:type="gramStart"/>
      <w:r>
        <w:rPr>
          <w:rFonts w:ascii="仿宋_GB2312" w:eastAsia="仿宋_GB2312" w:hint="eastAsia"/>
        </w:rPr>
        <w:t>承办县</w:t>
      </w:r>
      <w:proofErr w:type="gramEnd"/>
      <w:r>
        <w:rPr>
          <w:rFonts w:ascii="仿宋_GB2312" w:eastAsia="仿宋_GB2312" w:hint="eastAsia"/>
        </w:rPr>
        <w:t>十八届人大一次会议建议</w:t>
      </w:r>
      <w:r>
        <w:rPr>
          <w:rFonts w:ascii="仿宋_GB2312" w:eastAsia="仿宋_GB2312" w:hint="eastAsia"/>
        </w:rPr>
        <w:t>3</w:t>
      </w:r>
      <w:r>
        <w:rPr>
          <w:rFonts w:ascii="仿宋_GB2312" w:eastAsia="仿宋_GB2312" w:hint="eastAsia"/>
        </w:rPr>
        <w:t>件，</w:t>
      </w:r>
      <w:proofErr w:type="gramStart"/>
      <w:r>
        <w:rPr>
          <w:rFonts w:ascii="仿宋_GB2312" w:eastAsia="仿宋_GB2312" w:hint="eastAsia"/>
        </w:rPr>
        <w:t>承办县</w:t>
      </w:r>
      <w:proofErr w:type="gramEnd"/>
      <w:r>
        <w:rPr>
          <w:rFonts w:ascii="仿宋_GB2312" w:eastAsia="仿宋_GB2312" w:hint="eastAsia"/>
        </w:rPr>
        <w:t>政协十五届一次会议提案</w:t>
      </w:r>
      <w:r>
        <w:rPr>
          <w:rFonts w:ascii="仿宋_GB2312" w:eastAsia="仿宋_GB2312" w:hint="eastAsia"/>
        </w:rPr>
        <w:t>7</w:t>
      </w:r>
      <w:r>
        <w:rPr>
          <w:rFonts w:ascii="仿宋_GB2312" w:eastAsia="仿宋_GB2312" w:hint="eastAsia"/>
        </w:rPr>
        <w:t>件，办复率均为</w:t>
      </w:r>
      <w:r>
        <w:rPr>
          <w:rFonts w:ascii="仿宋_GB2312" w:eastAsia="仿宋_GB2312" w:hint="eastAsia"/>
        </w:rPr>
        <w:t>100%</w:t>
      </w:r>
      <w:r>
        <w:rPr>
          <w:rFonts w:ascii="仿宋_GB2312" w:eastAsia="仿宋_GB2312" w:hint="eastAsia"/>
        </w:rPr>
        <w:t>。除涉及国家秘密、工作秘密的，所有建议提案办理复文或摘要以及办理总体情况均在县政府门户网站建议提案办</w:t>
      </w:r>
      <w:r>
        <w:rPr>
          <w:rFonts w:ascii="仿宋_GB2312" w:eastAsia="仿宋_GB2312" w:hint="eastAsia"/>
        </w:rPr>
        <w:t>理</w:t>
      </w:r>
      <w:proofErr w:type="gramStart"/>
      <w:r>
        <w:rPr>
          <w:rFonts w:ascii="仿宋_GB2312" w:eastAsia="仿宋_GB2312" w:hint="eastAsia"/>
        </w:rPr>
        <w:t>专题专题</w:t>
      </w:r>
      <w:proofErr w:type="gramEnd"/>
      <w:r>
        <w:rPr>
          <w:rFonts w:ascii="仿宋_GB2312" w:eastAsia="仿宋_GB2312" w:hint="eastAsia"/>
        </w:rPr>
        <w:t>中予以公开。</w:t>
      </w:r>
    </w:p>
    <w:p w:rsidR="00D66989" w:rsidRDefault="00E509CF">
      <w:pPr>
        <w:spacing w:line="560" w:lineRule="exact"/>
        <w:ind w:firstLineChars="200" w:firstLine="640"/>
        <w:rPr>
          <w:rFonts w:ascii="楷体_GB2312" w:eastAsia="楷体_GB2312"/>
          <w:szCs w:val="32"/>
        </w:rPr>
      </w:pPr>
      <w:r>
        <w:rPr>
          <w:rFonts w:ascii="楷体_GB2312" w:eastAsia="楷体_GB2312" w:hint="eastAsia"/>
          <w:szCs w:val="32"/>
        </w:rPr>
        <w:t>（四）政务公开工作创新情况</w:t>
      </w:r>
    </w:p>
    <w:p w:rsidR="00D66989" w:rsidRDefault="00E509CF">
      <w:pPr>
        <w:spacing w:line="560" w:lineRule="exact"/>
        <w:ind w:firstLineChars="200" w:firstLine="640"/>
        <w:rPr>
          <w:rFonts w:ascii="仿宋_GB2312" w:eastAsia="仿宋_GB2312"/>
        </w:rPr>
      </w:pPr>
      <w:r>
        <w:rPr>
          <w:rFonts w:ascii="仿宋_GB2312" w:eastAsia="仿宋_GB2312" w:hint="eastAsia"/>
        </w:rPr>
        <w:t>一是依申请公开方面，</w:t>
      </w:r>
      <w:r>
        <w:rPr>
          <w:rFonts w:ascii="仿宋_GB2312" w:eastAsia="仿宋_GB2312" w:hint="eastAsia"/>
        </w:rPr>
        <w:t>按照政府政务公开要求，切实履行统计服务职能出发，扩大政务信息公开范围，规范依申请公开办理机制，完善受理、审查、办理、答复和保存备查等环节流程。深入公开信息内容，提高政务信息服务社会能力，不予公开的说明理由和原因，可以公开的提供公开资料或查询渠道，依法依规满足群众对城市管理工作信息的需求。</w:t>
      </w:r>
      <w:r>
        <w:rPr>
          <w:rFonts w:ascii="仿宋_GB2312" w:eastAsia="仿宋_GB2312" w:hint="eastAsia"/>
        </w:rPr>
        <w:t>二是政策解读方面，对涉及社会公众的文件或集体审议的重大</w:t>
      </w:r>
      <w:r>
        <w:rPr>
          <w:rFonts w:ascii="仿宋_GB2312" w:eastAsia="仿宋_GB2312" w:hint="eastAsia"/>
        </w:rPr>
        <w:lastRenderedPageBreak/>
        <w:t>行政决策，印发前期公开征求征求意见，做到文件和政策解读同步发布，对涉及面广、社会关注度高、实施难度</w:t>
      </w:r>
      <w:r>
        <w:rPr>
          <w:rFonts w:ascii="仿宋_GB2312" w:eastAsia="仿宋_GB2312" w:hint="eastAsia"/>
        </w:rPr>
        <w:t>大、专业性强的政策和重大措施，深入解读政策，解疑释惑，传递权威信息。在公布时要注重运用客观数据、生动实例等，提供政策解读的针对性、科学性、权威性，在局网站、微信、微博、政务公开栏等多地点发布。</w:t>
      </w:r>
    </w:p>
    <w:p w:rsidR="00D66989" w:rsidRDefault="00E509CF">
      <w:pPr>
        <w:spacing w:line="560" w:lineRule="exact"/>
        <w:ind w:firstLineChars="200" w:firstLine="640"/>
        <w:rPr>
          <w:rFonts w:ascii="楷体_GB2312" w:eastAsia="楷体_GB2312"/>
          <w:szCs w:val="32"/>
        </w:rPr>
      </w:pPr>
      <w:r>
        <w:rPr>
          <w:rFonts w:ascii="楷体_GB2312" w:eastAsia="楷体_GB2312" w:hint="eastAsia"/>
          <w:szCs w:val="32"/>
        </w:rPr>
        <w:t>（五）有关数据统计说明</w:t>
      </w:r>
    </w:p>
    <w:p w:rsidR="00D66989" w:rsidRDefault="00E509CF">
      <w:pPr>
        <w:spacing w:line="560" w:lineRule="exact"/>
        <w:ind w:firstLineChars="200" w:firstLine="640"/>
        <w:rPr>
          <w:rFonts w:ascii="仿宋_GB2312" w:eastAsia="仿宋_GB2312"/>
        </w:rPr>
      </w:pPr>
      <w:r>
        <w:rPr>
          <w:rFonts w:ascii="仿宋_GB2312" w:eastAsia="仿宋_GB2312" w:hint="eastAsia"/>
        </w:rPr>
        <w:t>1.</w:t>
      </w:r>
      <w:r>
        <w:rPr>
          <w:rFonts w:ascii="仿宋_GB2312" w:eastAsia="仿宋_GB2312" w:hint="eastAsia"/>
        </w:rPr>
        <w:t>报告中所列数据可能因四舍五入原因与数据直接相加之和存在尾数差异。</w:t>
      </w:r>
    </w:p>
    <w:p w:rsidR="00D66989" w:rsidRDefault="00E509CF">
      <w:pPr>
        <w:spacing w:line="560" w:lineRule="exact"/>
        <w:ind w:firstLineChars="200" w:firstLine="640"/>
        <w:rPr>
          <w:rFonts w:ascii="仿宋_GB2312" w:eastAsia="仿宋_GB2312"/>
        </w:rPr>
      </w:pPr>
      <w:r>
        <w:rPr>
          <w:rFonts w:ascii="仿宋_GB2312" w:eastAsia="仿宋_GB2312" w:hint="eastAsia"/>
        </w:rPr>
        <w:t>2.</w:t>
      </w:r>
      <w:r>
        <w:rPr>
          <w:rFonts w:ascii="仿宋_GB2312" w:eastAsia="仿宋_GB2312" w:hint="eastAsia"/>
        </w:rPr>
        <w:t>行政许可数量、行政处罚和行政强制数量，包括已公开和</w:t>
      </w:r>
      <w:proofErr w:type="gramStart"/>
      <w:r>
        <w:rPr>
          <w:rFonts w:ascii="仿宋_GB2312" w:eastAsia="仿宋_GB2312" w:hint="eastAsia"/>
        </w:rPr>
        <w:t>依法未</w:t>
      </w:r>
      <w:proofErr w:type="gramEnd"/>
      <w:r>
        <w:rPr>
          <w:rFonts w:ascii="仿宋_GB2312" w:eastAsia="仿宋_GB2312" w:hint="eastAsia"/>
        </w:rPr>
        <w:t>公开的全部处理决定。</w:t>
      </w:r>
    </w:p>
    <w:p w:rsidR="00D66989" w:rsidRDefault="00E509CF">
      <w:pPr>
        <w:spacing w:line="560" w:lineRule="exact"/>
        <w:ind w:firstLineChars="200" w:firstLine="640"/>
        <w:rPr>
          <w:rFonts w:ascii="仿宋_GB2312" w:eastAsia="仿宋_GB2312"/>
        </w:rPr>
      </w:pPr>
      <w:r>
        <w:rPr>
          <w:rFonts w:ascii="仿宋_GB2312" w:eastAsia="仿宋_GB2312" w:hint="eastAsia"/>
        </w:rPr>
        <w:t>3.</w:t>
      </w:r>
      <w:r>
        <w:rPr>
          <w:rFonts w:ascii="仿宋_GB2312" w:eastAsia="仿宋_GB2312" w:hint="eastAsia"/>
        </w:rPr>
        <w:t>行政复议机关作为共同被告的行政诉讼案件，只计算</w:t>
      </w:r>
      <w:proofErr w:type="gramStart"/>
      <w:r>
        <w:rPr>
          <w:rFonts w:ascii="仿宋_GB2312" w:eastAsia="仿宋_GB2312" w:hint="eastAsia"/>
        </w:rPr>
        <w:t>原行为</w:t>
      </w:r>
      <w:proofErr w:type="gramEnd"/>
      <w:r>
        <w:rPr>
          <w:rFonts w:ascii="仿宋_GB2312" w:eastAsia="仿宋_GB2312" w:hint="eastAsia"/>
        </w:rPr>
        <w:t>主体的案件数量，不计算行政复议机关的案件数量。</w:t>
      </w:r>
    </w:p>
    <w:p w:rsidR="00D66989" w:rsidRDefault="00D66989">
      <w:pPr>
        <w:spacing w:line="560" w:lineRule="exact"/>
        <w:ind w:firstLineChars="200" w:firstLine="600"/>
        <w:rPr>
          <w:rFonts w:ascii="楷体_GB2312" w:eastAsia="楷体_GB2312" w:hAnsi="黑体"/>
          <w:sz w:val="30"/>
          <w:szCs w:val="30"/>
        </w:rPr>
      </w:pPr>
    </w:p>
    <w:sectPr w:rsidR="00D669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9CF" w:rsidRDefault="00E509CF">
      <w:pPr>
        <w:spacing w:line="240" w:lineRule="auto"/>
      </w:pPr>
      <w:r>
        <w:separator/>
      </w:r>
    </w:p>
  </w:endnote>
  <w:endnote w:type="continuationSeparator" w:id="0">
    <w:p w:rsidR="00E509CF" w:rsidRDefault="00E509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script"/>
    <w:pitch w:val="default"/>
    <w:sig w:usb0="00000000" w:usb1="38CF7CFA" w:usb2="00082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9CF" w:rsidRDefault="00E509CF">
      <w:pPr>
        <w:spacing w:line="240" w:lineRule="auto"/>
      </w:pPr>
      <w:r>
        <w:separator/>
      </w:r>
    </w:p>
  </w:footnote>
  <w:footnote w:type="continuationSeparator" w:id="0">
    <w:p w:rsidR="00E509CF" w:rsidRDefault="00E509C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0NDljNmFiMzFkY2ZjZmQ4N2MzMDQyM2Q3NzlkMzMifQ=="/>
  </w:docVars>
  <w:rsids>
    <w:rsidRoot w:val="002E3543"/>
    <w:rsid w:val="000164E6"/>
    <w:rsid w:val="00024945"/>
    <w:rsid w:val="00110130"/>
    <w:rsid w:val="00117733"/>
    <w:rsid w:val="00121DCF"/>
    <w:rsid w:val="00201CF1"/>
    <w:rsid w:val="00211942"/>
    <w:rsid w:val="002133C7"/>
    <w:rsid w:val="002E3543"/>
    <w:rsid w:val="003B5255"/>
    <w:rsid w:val="003E75A6"/>
    <w:rsid w:val="00411C61"/>
    <w:rsid w:val="00415AB1"/>
    <w:rsid w:val="004622F8"/>
    <w:rsid w:val="004C1750"/>
    <w:rsid w:val="00515DB1"/>
    <w:rsid w:val="00523855"/>
    <w:rsid w:val="00591E5D"/>
    <w:rsid w:val="005C0F41"/>
    <w:rsid w:val="0065765D"/>
    <w:rsid w:val="00673AC7"/>
    <w:rsid w:val="00704FCD"/>
    <w:rsid w:val="008C4ED2"/>
    <w:rsid w:val="009B028C"/>
    <w:rsid w:val="00AD7D4A"/>
    <w:rsid w:val="00C542CC"/>
    <w:rsid w:val="00C67940"/>
    <w:rsid w:val="00C73BD0"/>
    <w:rsid w:val="00CC2BE7"/>
    <w:rsid w:val="00CC521B"/>
    <w:rsid w:val="00CD1D00"/>
    <w:rsid w:val="00D66989"/>
    <w:rsid w:val="00E509CF"/>
    <w:rsid w:val="00EA0721"/>
    <w:rsid w:val="00ED3A65"/>
    <w:rsid w:val="00EF5607"/>
    <w:rsid w:val="00FA216A"/>
    <w:rsid w:val="00FD5381"/>
    <w:rsid w:val="058D7738"/>
    <w:rsid w:val="06A24B69"/>
    <w:rsid w:val="081C7F00"/>
    <w:rsid w:val="08602EE2"/>
    <w:rsid w:val="09CF7E8D"/>
    <w:rsid w:val="17C107CE"/>
    <w:rsid w:val="1ED57ED6"/>
    <w:rsid w:val="1F4418F0"/>
    <w:rsid w:val="20012DA5"/>
    <w:rsid w:val="23A9724C"/>
    <w:rsid w:val="25C334D1"/>
    <w:rsid w:val="265E7A08"/>
    <w:rsid w:val="2751016E"/>
    <w:rsid w:val="29DC4B4A"/>
    <w:rsid w:val="2BA03472"/>
    <w:rsid w:val="347F7054"/>
    <w:rsid w:val="3C9934EC"/>
    <w:rsid w:val="3CB17EB4"/>
    <w:rsid w:val="41656FE2"/>
    <w:rsid w:val="46141AA7"/>
    <w:rsid w:val="49014F5F"/>
    <w:rsid w:val="4B0610EB"/>
    <w:rsid w:val="516923D4"/>
    <w:rsid w:val="52AE45C6"/>
    <w:rsid w:val="55231D8E"/>
    <w:rsid w:val="55772DD3"/>
    <w:rsid w:val="60062457"/>
    <w:rsid w:val="60656DD1"/>
    <w:rsid w:val="63506125"/>
    <w:rsid w:val="6BA51E03"/>
    <w:rsid w:val="6F1C062E"/>
    <w:rsid w:val="6F2A59BA"/>
    <w:rsid w:val="71372513"/>
    <w:rsid w:val="7BAF323F"/>
    <w:rsid w:val="7CF205A3"/>
    <w:rsid w:val="7DF10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paragraph" w:styleId="1">
    <w:name w:val="heading 1"/>
    <w:basedOn w:val="a"/>
    <w:next w:val="a"/>
    <w:uiPriority w:val="9"/>
    <w:qFormat/>
    <w:pPr>
      <w:spacing w:beforeAutospacing="1" w:afterAutospacing="1"/>
      <w:jc w:val="left"/>
      <w:outlineLvl w:val="0"/>
    </w:pPr>
    <w:rPr>
      <w:rFonts w:ascii="宋体" w:eastAsia="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footer"/>
    <w:basedOn w:val="a"/>
    <w:link w:val="Char"/>
    <w:uiPriority w:val="99"/>
    <w:unhideWhenUsed/>
    <w:pPr>
      <w:tabs>
        <w:tab w:val="center" w:pos="4153"/>
        <w:tab w:val="right" w:pos="8306"/>
      </w:tabs>
      <w:spacing w:line="240" w:lineRule="atLeast"/>
      <w:jc w:val="left"/>
    </w:pPr>
    <w:rPr>
      <w:sz w:val="18"/>
      <w:szCs w:val="18"/>
    </w:rPr>
  </w:style>
  <w:style w:type="paragraph" w:styleId="a5">
    <w:name w:val="header"/>
    <w:basedOn w:val="a"/>
    <w:link w:val="Char0"/>
    <w:uiPriority w:val="99"/>
    <w:unhideWhenUsed/>
    <w:pPr>
      <w:pBdr>
        <w:bottom w:val="single" w:sz="6" w:space="1" w:color="auto"/>
      </w:pBdr>
      <w:tabs>
        <w:tab w:val="center" w:pos="4153"/>
        <w:tab w:val="right" w:pos="8306"/>
      </w:tabs>
      <w:spacing w:line="240" w:lineRule="atLeast"/>
      <w:jc w:val="center"/>
    </w:pPr>
    <w:rPr>
      <w:sz w:val="18"/>
      <w:szCs w:val="18"/>
    </w:rPr>
  </w:style>
  <w:style w:type="paragraph" w:styleId="a6">
    <w:name w:val="Normal (Web)"/>
    <w:basedOn w:val="a"/>
    <w:uiPriority w:val="99"/>
    <w:semiHidden/>
    <w:unhideWhenUsed/>
    <w:qFormat/>
    <w:pPr>
      <w:spacing w:beforeAutospacing="1" w:afterAutospacing="1"/>
      <w:jc w:val="left"/>
    </w:pPr>
    <w:rPr>
      <w:sz w:val="24"/>
    </w:rPr>
  </w:style>
  <w:style w:type="table" w:styleId="a7">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Pr>
      <w:b/>
    </w:rPr>
  </w:style>
  <w:style w:type="character" w:customStyle="1" w:styleId="Char0">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4"/>
    <w:uiPriority w:val="99"/>
    <w:qFormat/>
    <w:rPr>
      <w:rFonts w:ascii="Times New Roman" w:eastAsia="方正仿宋_GBK" w:hAnsi="Times New Roman" w:cs="Times New Roman"/>
      <w:snapToGrid w:val="0"/>
      <w:kern w:val="0"/>
      <w:sz w:val="18"/>
      <w:szCs w:val="18"/>
    </w:rPr>
  </w:style>
  <w:style w:type="paragraph" w:styleId="a9">
    <w:name w:val="Balloon Text"/>
    <w:basedOn w:val="a"/>
    <w:link w:val="Char1"/>
    <w:uiPriority w:val="99"/>
    <w:semiHidden/>
    <w:unhideWhenUsed/>
    <w:rsid w:val="00201CF1"/>
    <w:pPr>
      <w:spacing w:line="240" w:lineRule="auto"/>
    </w:pPr>
    <w:rPr>
      <w:sz w:val="18"/>
      <w:szCs w:val="18"/>
    </w:rPr>
  </w:style>
  <w:style w:type="character" w:customStyle="1" w:styleId="Char1">
    <w:name w:val="批注框文本 Char"/>
    <w:basedOn w:val="a0"/>
    <w:link w:val="a9"/>
    <w:uiPriority w:val="99"/>
    <w:semiHidden/>
    <w:rsid w:val="00201CF1"/>
    <w:rPr>
      <w:rFonts w:eastAsia="方正仿宋_GBK"/>
      <w:snapToGrid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paragraph" w:styleId="1">
    <w:name w:val="heading 1"/>
    <w:basedOn w:val="a"/>
    <w:next w:val="a"/>
    <w:uiPriority w:val="9"/>
    <w:qFormat/>
    <w:pPr>
      <w:spacing w:beforeAutospacing="1" w:afterAutospacing="1"/>
      <w:jc w:val="left"/>
      <w:outlineLvl w:val="0"/>
    </w:pPr>
    <w:rPr>
      <w:rFonts w:ascii="宋体" w:eastAsia="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footer"/>
    <w:basedOn w:val="a"/>
    <w:link w:val="Char"/>
    <w:uiPriority w:val="99"/>
    <w:unhideWhenUsed/>
    <w:pPr>
      <w:tabs>
        <w:tab w:val="center" w:pos="4153"/>
        <w:tab w:val="right" w:pos="8306"/>
      </w:tabs>
      <w:spacing w:line="240" w:lineRule="atLeast"/>
      <w:jc w:val="left"/>
    </w:pPr>
    <w:rPr>
      <w:sz w:val="18"/>
      <w:szCs w:val="18"/>
    </w:rPr>
  </w:style>
  <w:style w:type="paragraph" w:styleId="a5">
    <w:name w:val="header"/>
    <w:basedOn w:val="a"/>
    <w:link w:val="Char0"/>
    <w:uiPriority w:val="99"/>
    <w:unhideWhenUsed/>
    <w:pPr>
      <w:pBdr>
        <w:bottom w:val="single" w:sz="6" w:space="1" w:color="auto"/>
      </w:pBdr>
      <w:tabs>
        <w:tab w:val="center" w:pos="4153"/>
        <w:tab w:val="right" w:pos="8306"/>
      </w:tabs>
      <w:spacing w:line="240" w:lineRule="atLeast"/>
      <w:jc w:val="center"/>
    </w:pPr>
    <w:rPr>
      <w:sz w:val="18"/>
      <w:szCs w:val="18"/>
    </w:rPr>
  </w:style>
  <w:style w:type="paragraph" w:styleId="a6">
    <w:name w:val="Normal (Web)"/>
    <w:basedOn w:val="a"/>
    <w:uiPriority w:val="99"/>
    <w:semiHidden/>
    <w:unhideWhenUsed/>
    <w:qFormat/>
    <w:pPr>
      <w:spacing w:beforeAutospacing="1" w:afterAutospacing="1"/>
      <w:jc w:val="left"/>
    </w:pPr>
    <w:rPr>
      <w:sz w:val="24"/>
    </w:rPr>
  </w:style>
  <w:style w:type="table" w:styleId="a7">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Pr>
      <w:b/>
    </w:rPr>
  </w:style>
  <w:style w:type="character" w:customStyle="1" w:styleId="Char0">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4"/>
    <w:uiPriority w:val="99"/>
    <w:qFormat/>
    <w:rPr>
      <w:rFonts w:ascii="Times New Roman" w:eastAsia="方正仿宋_GBK" w:hAnsi="Times New Roman" w:cs="Times New Roman"/>
      <w:snapToGrid w:val="0"/>
      <w:kern w:val="0"/>
      <w:sz w:val="18"/>
      <w:szCs w:val="18"/>
    </w:rPr>
  </w:style>
  <w:style w:type="paragraph" w:styleId="a9">
    <w:name w:val="Balloon Text"/>
    <w:basedOn w:val="a"/>
    <w:link w:val="Char1"/>
    <w:uiPriority w:val="99"/>
    <w:semiHidden/>
    <w:unhideWhenUsed/>
    <w:rsid w:val="00201CF1"/>
    <w:pPr>
      <w:spacing w:line="240" w:lineRule="auto"/>
    </w:pPr>
    <w:rPr>
      <w:sz w:val="18"/>
      <w:szCs w:val="18"/>
    </w:rPr>
  </w:style>
  <w:style w:type="character" w:customStyle="1" w:styleId="Char1">
    <w:name w:val="批注框文本 Char"/>
    <w:basedOn w:val="a0"/>
    <w:link w:val="a9"/>
    <w:uiPriority w:val="99"/>
    <w:semiHidden/>
    <w:rsid w:val="00201CF1"/>
    <w:rPr>
      <w:rFonts w:eastAsia="方正仿宋_GBK"/>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9</Pages>
  <Words>687</Words>
  <Characters>3917</Characters>
  <Application>Microsoft Office Word</Application>
  <DocSecurity>0</DocSecurity>
  <Lines>32</Lines>
  <Paragraphs>9</Paragraphs>
  <ScaleCrop>false</ScaleCrop>
  <Company>gq</Company>
  <LinksUpToDate>false</LinksUpToDate>
  <CharactersWithSpaces>4595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18</cp:revision>
  <dcterms:created xsi:type="dcterms:W3CDTF">2022-01-02T01:04:00Z</dcterms:created>
  <dcterms:modified xsi:type="dcterms:W3CDTF">2023-01-17T07:34:00Z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A37837E77EDD4D43A8332E9A49A75BFB</vt:lpwstr>
  </property>
</Properties>
</file>