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高青县综合行政执法局</w:t>
      </w:r>
    </w:p>
    <w:p>
      <w:pPr>
        <w:spacing w:line="560" w:lineRule="exact"/>
        <w:ind w:firstLine="0"/>
        <w:jc w:val="center"/>
        <w:rPr>
          <w:rFonts w:ascii="方正小标宋简体" w:eastAsia="方正小标宋简体"/>
          <w:sz w:val="44"/>
          <w:szCs w:val="44"/>
        </w:rPr>
      </w:pPr>
      <w:r>
        <w:rPr>
          <w:rFonts w:hint="eastAsia" w:ascii="方正小标宋简体" w:eastAsia="方正小标宋简体"/>
          <w:sz w:val="44"/>
          <w:szCs w:val="44"/>
        </w:rPr>
        <w:t>2023年政府信息公开工作年度报告</w:t>
      </w:r>
    </w:p>
    <w:p>
      <w:pPr>
        <w:spacing w:line="560" w:lineRule="exact"/>
        <w:ind w:firstLine="0"/>
        <w:jc w:val="center"/>
        <w:rPr>
          <w:rFonts w:eastAsia="仿宋_GB2312"/>
          <w:sz w:val="24"/>
          <w:szCs w:val="16"/>
        </w:rPr>
      </w:pPr>
    </w:p>
    <w:p>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560" w:lineRule="exact"/>
        <w:ind w:firstLine="640" w:firstLineChars="200"/>
        <w:rPr>
          <w:rFonts w:eastAsia="仿宋_GB2312"/>
        </w:rPr>
      </w:pPr>
      <w:r>
        <w:rPr>
          <w:rFonts w:eastAsia="仿宋_GB2312"/>
        </w:rPr>
        <w:t>报告中所列数据统计期限自2023年1月1日始，至2023年12月31日止。报告电子版可在高青县人民政府门户网站（www.gaoqing.gov.cn）查阅和下载。如对报告内容有疑问，请与高青县</w:t>
      </w:r>
      <w:r>
        <w:rPr>
          <w:rFonts w:hint="eastAsia" w:eastAsia="仿宋_GB2312"/>
        </w:rPr>
        <w:t>综合行政执法局</w:t>
      </w:r>
      <w:r>
        <w:rPr>
          <w:rFonts w:eastAsia="仿宋_GB2312"/>
        </w:rPr>
        <w:t>办公室联系（地址：山东省淄博市高青县青苑路39号；邮编：256300；电话：0533-6983603；传真：0533-6983603；邮箱：gqxzfj@zb.shandong.cn）。</w:t>
      </w:r>
    </w:p>
    <w:p>
      <w:pPr>
        <w:spacing w:line="560" w:lineRule="exact"/>
        <w:ind w:firstLine="640" w:firstLineChars="200"/>
        <w:rPr>
          <w:rFonts w:eastAsia="黑体"/>
          <w:szCs w:val="32"/>
        </w:rPr>
      </w:pPr>
      <w:r>
        <w:rPr>
          <w:rFonts w:eastAsia="黑体"/>
          <w:szCs w:val="32"/>
        </w:rPr>
        <w:t>一、总体情况</w:t>
      </w:r>
    </w:p>
    <w:p>
      <w:pPr>
        <w:spacing w:line="560" w:lineRule="exact"/>
        <w:jc w:val="left"/>
        <w:rPr>
          <w:rFonts w:eastAsia="仿宋_GB2312"/>
          <w:szCs w:val="32"/>
        </w:rPr>
      </w:pPr>
      <w:r>
        <w:rPr>
          <w:rFonts w:eastAsia="仿宋_GB2312"/>
          <w:szCs w:val="32"/>
        </w:rPr>
        <w:t>2023年，高青县综合行政执法局坚持以习近平新时代中国特色社会主义思想为指导，全面促进政务公开工作提质增效，加强政策解读、回应关切、平台建设，增强综合执法工作的透明度，切实保障公众知情权、参与权、表达权和监督权。</w:t>
      </w:r>
    </w:p>
    <w:p>
      <w:pPr>
        <w:spacing w:line="560" w:lineRule="exact"/>
        <w:jc w:val="left"/>
        <w:rPr>
          <w:rFonts w:eastAsia="楷体_GB2312"/>
        </w:rPr>
      </w:pPr>
      <w:r>
        <w:rPr>
          <w:rFonts w:eastAsia="楷体_GB2312"/>
        </w:rPr>
        <w:t>（一）主动公开</w:t>
      </w:r>
    </w:p>
    <w:p>
      <w:pPr>
        <w:autoSpaceDN/>
        <w:spacing w:line="560" w:lineRule="exact"/>
        <w:jc w:val="left"/>
        <w:rPr>
          <w:rFonts w:eastAsia="仿宋_GB2312"/>
          <w:szCs w:val="32"/>
        </w:rPr>
      </w:pPr>
      <w:r>
        <w:rPr>
          <w:rFonts w:eastAsia="仿宋_GB2312"/>
          <w:szCs w:val="32"/>
        </w:rPr>
        <w:t>完善制度保障，制订《高青县综合行政执法局</w:t>
      </w:r>
      <w:r>
        <w:rPr>
          <w:rFonts w:hint="eastAsia" w:eastAsia="仿宋_GB2312"/>
          <w:szCs w:val="32"/>
        </w:rPr>
        <w:t>政务</w:t>
      </w:r>
      <w:r>
        <w:rPr>
          <w:rFonts w:eastAsia="仿宋_GB2312"/>
          <w:szCs w:val="32"/>
        </w:rPr>
        <w:t>公开工作办法》，保障</w:t>
      </w:r>
      <w:r>
        <w:rPr>
          <w:rFonts w:hint="eastAsia" w:eastAsia="仿宋_GB2312"/>
          <w:szCs w:val="32"/>
        </w:rPr>
        <w:t>政务</w:t>
      </w:r>
      <w:r>
        <w:rPr>
          <w:rFonts w:eastAsia="仿宋_GB2312"/>
          <w:szCs w:val="32"/>
        </w:rPr>
        <w:t>公开工作及时准确、规范运行。</w:t>
      </w:r>
      <w:r>
        <w:rPr>
          <w:rFonts w:hint="eastAsia" w:eastAsia="仿宋_GB2312"/>
          <w:szCs w:val="32"/>
        </w:rPr>
        <w:t>持续做好市政服务、综合执法等重点领域信息公开，</w:t>
      </w:r>
      <w:r>
        <w:rPr>
          <w:rFonts w:eastAsia="仿宋_GB2312"/>
          <w:szCs w:val="32"/>
        </w:rPr>
        <w:t>2023年</w:t>
      </w:r>
      <w:r>
        <w:rPr>
          <w:rFonts w:hint="eastAsia" w:eastAsia="仿宋_GB2312"/>
          <w:szCs w:val="32"/>
        </w:rPr>
        <w:t>公开政府信息</w:t>
      </w:r>
      <w:r>
        <w:rPr>
          <w:rFonts w:eastAsia="仿宋_GB2312"/>
          <w:szCs w:val="32"/>
        </w:rPr>
        <w:t>1072条，其中</w:t>
      </w:r>
      <w:r>
        <w:rPr>
          <w:rFonts w:hint="eastAsia" w:ascii="仿宋_GB2312" w:eastAsia="仿宋_GB2312" w:hAnsiTheme="minorEastAsia"/>
          <w:szCs w:val="32"/>
        </w:rPr>
        <w:t>政府网站公开信息</w:t>
      </w:r>
      <w:r>
        <w:rPr>
          <w:rFonts w:eastAsia="仿宋_GB2312"/>
          <w:szCs w:val="32"/>
        </w:rPr>
        <w:t>204</w:t>
      </w:r>
      <w:r>
        <w:rPr>
          <w:rFonts w:hint="eastAsia" w:eastAsia="仿宋_GB2312"/>
          <w:szCs w:val="32"/>
        </w:rPr>
        <w:t>条</w:t>
      </w:r>
      <w:r>
        <w:rPr>
          <w:rFonts w:eastAsia="仿宋_GB2312"/>
          <w:szCs w:val="32"/>
        </w:rPr>
        <w:t>、</w:t>
      </w:r>
      <w:r>
        <w:rPr>
          <w:rFonts w:hint="eastAsia" w:eastAsia="仿宋_GB2312"/>
          <w:szCs w:val="32"/>
        </w:rPr>
        <w:t>政务系媒体公开452条、其他渠道公开416条，</w:t>
      </w:r>
      <w:r>
        <w:rPr>
          <w:rFonts w:eastAsia="仿宋_GB2312"/>
          <w:szCs w:val="32"/>
        </w:rPr>
        <w:t>比2022年增加797条。</w:t>
      </w:r>
      <w:r>
        <w:rPr>
          <w:rFonts w:hint="eastAsia" w:eastAsia="仿宋_GB2312"/>
          <w:szCs w:val="32"/>
        </w:rPr>
        <w:t>丰富政策解读形式，开展图文解读，</w:t>
      </w:r>
      <w:r>
        <w:rPr>
          <w:rFonts w:eastAsia="仿宋_GB2312"/>
          <w:szCs w:val="32"/>
        </w:rPr>
        <w:t>发布解读材料3篇。</w:t>
      </w:r>
      <w:r>
        <w:rPr>
          <w:rFonts w:hint="eastAsia" w:eastAsia="仿宋_GB2312"/>
          <w:szCs w:val="32"/>
        </w:rPr>
        <w:t>积极回应关切，</w:t>
      </w:r>
      <w:r>
        <w:rPr>
          <w:rFonts w:eastAsia="仿宋_GB2312"/>
          <w:szCs w:val="32"/>
        </w:rPr>
        <w:t>办理政府信箱群众留言21件，答复率100%</w:t>
      </w:r>
      <w:r>
        <w:rPr>
          <w:rFonts w:hint="eastAsia" w:eastAsia="仿宋_GB2312"/>
          <w:szCs w:val="32"/>
        </w:rPr>
        <w:t>；</w:t>
      </w:r>
      <w:r>
        <w:rPr>
          <w:rFonts w:eastAsia="仿宋_GB2312"/>
          <w:szCs w:val="32"/>
        </w:rPr>
        <w:t>办理12345政务服务热线5318件，服务过程满意率98.77%</w:t>
      </w:r>
      <w:r>
        <w:rPr>
          <w:rFonts w:hint="eastAsia" w:eastAsia="仿宋_GB2312"/>
          <w:szCs w:val="32"/>
        </w:rPr>
        <w:t>。</w:t>
      </w:r>
    </w:p>
    <w:p>
      <w:pPr>
        <w:autoSpaceDN/>
        <w:spacing w:line="240" w:lineRule="auto"/>
        <w:ind w:firstLine="0"/>
        <w:jc w:val="left"/>
        <w:rPr>
          <w:rFonts w:eastAsia="仿宋_GB2312"/>
          <w:szCs w:val="32"/>
        </w:rPr>
      </w:pPr>
      <w:r>
        <w:rPr>
          <w:rFonts w:eastAsia="仿宋_GB2312"/>
          <w:szCs w:val="32"/>
        </w:rPr>
        <w:drawing>
          <wp:inline distT="0" distB="0" distL="114300" distR="114300">
            <wp:extent cx="5609590" cy="3175000"/>
            <wp:effectExtent l="0" t="0" r="10160" b="6350"/>
            <wp:docPr id="2" name="图片 2" descr="高青县综合行政执法局历年公开信息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高青县综合行政执法局历年公开信息数量"/>
                    <pic:cNvPicPr>
                      <a:picLocks noChangeAspect="1"/>
                    </pic:cNvPicPr>
                  </pic:nvPicPr>
                  <pic:blipFill>
                    <a:blip r:embed="rId6"/>
                    <a:stretch>
                      <a:fillRect/>
                    </a:stretch>
                  </pic:blipFill>
                  <pic:spPr>
                    <a:xfrm>
                      <a:off x="0" y="0"/>
                      <a:ext cx="5609590" cy="3175000"/>
                    </a:xfrm>
                    <a:prstGeom prst="rect">
                      <a:avLst/>
                    </a:prstGeom>
                  </pic:spPr>
                </pic:pic>
              </a:graphicData>
            </a:graphic>
          </wp:inline>
        </w:drawing>
      </w:r>
    </w:p>
    <w:p>
      <w:pPr>
        <w:spacing w:line="560" w:lineRule="exact"/>
        <w:jc w:val="left"/>
        <w:rPr>
          <w:rFonts w:eastAsia="楷体_GB2312"/>
        </w:rPr>
      </w:pPr>
      <w:r>
        <w:rPr>
          <w:rFonts w:eastAsia="楷体_GB2312"/>
        </w:rPr>
        <w:t>（二）依申请公开</w:t>
      </w:r>
    </w:p>
    <w:p>
      <w:pPr>
        <w:spacing w:line="560" w:lineRule="exact"/>
        <w:jc w:val="left"/>
        <w:rPr>
          <w:rFonts w:eastAsia="仿宋_GB2312"/>
          <w:szCs w:val="32"/>
        </w:rPr>
      </w:pPr>
      <w:r>
        <w:rPr>
          <w:rFonts w:eastAsia="仿宋_GB2312"/>
          <w:szCs w:val="32"/>
        </w:rPr>
        <w:t>完善政府信息公开申请的受理、审查、登记、处理、告知、寄送、归档程序，严格办理时限，努力做到依法有据、严谨规范，提高办理质量。2023年共收到政府信息公开申请2件，比上年度减少2件，申请内容主要涉及物业管理领域。作出政府信息公开申请答复2件，其中予以公开2件。未因政府信息公开被申请行政复议、提起行政诉讼。</w:t>
      </w:r>
    </w:p>
    <w:p>
      <w:pPr>
        <w:spacing w:line="560" w:lineRule="exact"/>
        <w:jc w:val="left"/>
        <w:rPr>
          <w:rFonts w:eastAsia="楷体_GB2312"/>
        </w:rPr>
      </w:pPr>
      <w:r>
        <w:rPr>
          <w:rFonts w:eastAsia="楷体_GB2312"/>
        </w:rPr>
        <w:t>（三）政府信息管理</w:t>
      </w:r>
    </w:p>
    <w:p>
      <w:pPr>
        <w:spacing w:line="560" w:lineRule="exact"/>
        <w:rPr>
          <w:rFonts w:eastAsia="仿宋_GB2312"/>
          <w:szCs w:val="32"/>
        </w:rPr>
      </w:pPr>
      <w:r>
        <w:rPr>
          <w:rFonts w:eastAsia="仿宋_GB2312"/>
          <w:szCs w:val="32"/>
        </w:rPr>
        <w:t>加强政府信息全生命周期管理工作</w:t>
      </w:r>
      <w:r>
        <w:rPr>
          <w:rFonts w:hint="eastAsia" w:eastAsia="仿宋_GB2312"/>
          <w:szCs w:val="32"/>
        </w:rPr>
        <w:t>，做好失效政府信息的清理，</w:t>
      </w:r>
      <w:r>
        <w:rPr>
          <w:rFonts w:eastAsia="仿宋_GB2312"/>
          <w:szCs w:val="32"/>
        </w:rPr>
        <w:t>更新调整主动公开基本目录</w:t>
      </w:r>
      <w:r>
        <w:rPr>
          <w:rFonts w:hint="eastAsia" w:eastAsia="仿宋_GB2312"/>
          <w:szCs w:val="32"/>
        </w:rPr>
        <w:t>。</w:t>
      </w:r>
      <w:r>
        <w:rPr>
          <w:rFonts w:eastAsia="仿宋_GB2312"/>
          <w:szCs w:val="32"/>
        </w:rPr>
        <w:t>强化信息审核发布，实行分类分级审查审批，坚持先审后发，确保信息内容真实、客观、准确。规范信息公开前的保密审查工作，遵循“先审查、后公开，谁审查、谁负责，谁公开、谁负责”的原则</w:t>
      </w:r>
      <w:r>
        <w:rPr>
          <w:rFonts w:hint="eastAsia" w:eastAsia="仿宋_GB2312"/>
          <w:szCs w:val="32"/>
        </w:rPr>
        <w:t>，</w:t>
      </w:r>
      <w:r>
        <w:rPr>
          <w:rFonts w:eastAsia="仿宋_GB2312"/>
          <w:szCs w:val="32"/>
        </w:rPr>
        <w:t>防止在信息公开过程中发生泄密行为，促进信息公开工作平稳有序开展</w:t>
      </w:r>
      <w:r>
        <w:rPr>
          <w:rFonts w:hint="eastAsia" w:eastAsia="仿宋_GB2312"/>
          <w:szCs w:val="32"/>
        </w:rPr>
        <w:t xml:space="preserve">。 </w:t>
      </w:r>
    </w:p>
    <w:p>
      <w:pPr>
        <w:spacing w:line="560" w:lineRule="exact"/>
        <w:jc w:val="left"/>
        <w:rPr>
          <w:rFonts w:eastAsia="楷体_GB2312"/>
        </w:rPr>
      </w:pPr>
      <w:r>
        <w:rPr>
          <w:rFonts w:eastAsia="楷体_GB2312"/>
        </w:rPr>
        <w:t>（四）政府信息公开平台建设</w:t>
      </w:r>
    </w:p>
    <w:p>
      <w:pPr>
        <w:spacing w:line="560" w:lineRule="exact"/>
        <w:jc w:val="left"/>
        <w:rPr>
          <w:rFonts w:eastAsia="楷体_GB2312"/>
        </w:rPr>
      </w:pPr>
      <w:r>
        <w:rPr>
          <w:rFonts w:eastAsia="仿宋_GB2312"/>
        </w:rPr>
        <w:t>做好公开平台的日常维护和管理</w:t>
      </w:r>
      <w:r>
        <w:rPr>
          <w:rFonts w:hint="eastAsia" w:eastAsia="仿宋_GB2312"/>
        </w:rPr>
        <w:t>，</w:t>
      </w:r>
      <w:r>
        <w:rPr>
          <w:rFonts w:eastAsia="仿宋_GB2312"/>
        </w:rPr>
        <w:t>对照主动公开基本目录，</w:t>
      </w:r>
      <w:r>
        <w:rPr>
          <w:rFonts w:hint="eastAsia" w:eastAsia="仿宋_GB2312"/>
        </w:rPr>
        <w:t>调整政府网站政务公开专栏</w:t>
      </w:r>
      <w:r>
        <w:rPr>
          <w:rFonts w:eastAsia="仿宋_GB2312"/>
        </w:rPr>
        <w:t>行政执法公示、政策文件等</w:t>
      </w:r>
      <w:r>
        <w:rPr>
          <w:rFonts w:hint="eastAsia" w:eastAsia="仿宋_GB2312"/>
        </w:rPr>
        <w:t>栏目5个，</w:t>
      </w:r>
      <w:r>
        <w:rPr>
          <w:rFonts w:eastAsia="仿宋_GB2312"/>
        </w:rPr>
        <w:t>不断优化栏目页面设置</w:t>
      </w:r>
      <w:r>
        <w:rPr>
          <w:rFonts w:hint="eastAsia" w:eastAsia="仿宋_GB2312"/>
        </w:rPr>
        <w:t>，</w:t>
      </w:r>
      <w:r>
        <w:rPr>
          <w:rFonts w:eastAsia="仿宋_GB2312"/>
        </w:rPr>
        <w:t>方便社会公众快速、准确获取所需信息</w:t>
      </w:r>
      <w:r>
        <w:rPr>
          <w:rFonts w:hint="eastAsia" w:eastAsia="仿宋_GB2312"/>
        </w:rPr>
        <w:t>。发挥好政务新媒体信息公开平台作用，</w:t>
      </w:r>
      <w:r>
        <w:rPr>
          <w:rFonts w:eastAsia="仿宋_GB2312"/>
        </w:rPr>
        <w:t>利用“高青县综合行政执法局”微信公众号</w:t>
      </w:r>
      <w:r>
        <w:rPr>
          <w:rFonts w:hint="eastAsia" w:eastAsia="仿宋_GB2312"/>
        </w:rPr>
        <w:t>，</w:t>
      </w:r>
      <w:r>
        <w:rPr>
          <w:rFonts w:eastAsia="仿宋_GB2312"/>
        </w:rPr>
        <w:t>及时准确</w:t>
      </w:r>
      <w:r>
        <w:rPr>
          <w:rFonts w:hint="eastAsia" w:eastAsia="仿宋_GB2312"/>
        </w:rPr>
        <w:t>公开</w:t>
      </w:r>
      <w:r>
        <w:rPr>
          <w:rFonts w:eastAsia="仿宋_GB2312"/>
        </w:rPr>
        <w:t>做好园林、环卫、市政、综合执法等城市管理</w:t>
      </w:r>
      <w:r>
        <w:rPr>
          <w:rFonts w:hint="eastAsia" w:eastAsia="仿宋_GB2312"/>
        </w:rPr>
        <w:t>信息。</w:t>
      </w:r>
      <w:r>
        <w:rPr>
          <w:rFonts w:hint="eastAsia" w:eastAsia="仿宋_GB2312"/>
          <w:szCs w:val="32"/>
        </w:rPr>
        <w:t>做好</w:t>
      </w:r>
      <w:r>
        <w:rPr>
          <w:rFonts w:eastAsia="仿宋_GB2312"/>
          <w:szCs w:val="32"/>
        </w:rPr>
        <w:t>政府网站和政务新媒体错链</w:t>
      </w:r>
      <w:r>
        <w:rPr>
          <w:rFonts w:hint="eastAsia" w:eastAsia="仿宋_GB2312"/>
          <w:szCs w:val="32"/>
        </w:rPr>
        <w:t>、死链等问题</w:t>
      </w:r>
      <w:r>
        <w:rPr>
          <w:rFonts w:eastAsia="仿宋_GB2312"/>
          <w:szCs w:val="32"/>
        </w:rPr>
        <w:t>整改，</w:t>
      </w:r>
      <w:r>
        <w:rPr>
          <w:rFonts w:hint="eastAsia" w:eastAsia="仿宋_GB2312"/>
          <w:szCs w:val="32"/>
        </w:rPr>
        <w:t>确保</w:t>
      </w:r>
      <w:r>
        <w:rPr>
          <w:rFonts w:eastAsia="仿宋_GB2312"/>
          <w:szCs w:val="32"/>
        </w:rPr>
        <w:t>问题清零。</w:t>
      </w:r>
    </w:p>
    <w:p>
      <w:pPr>
        <w:spacing w:line="560" w:lineRule="exact"/>
        <w:jc w:val="left"/>
        <w:rPr>
          <w:rFonts w:eastAsia="楷体_GB2312"/>
        </w:rPr>
      </w:pPr>
      <w:r>
        <w:rPr>
          <w:rFonts w:eastAsia="楷体_GB2312"/>
        </w:rPr>
        <w:t>（五）监督保障</w:t>
      </w:r>
    </w:p>
    <w:p>
      <w:pPr>
        <w:spacing w:line="560" w:lineRule="exact"/>
        <w:rPr>
          <w:rFonts w:eastAsia="仿宋_GB2312"/>
          <w:szCs w:val="32"/>
        </w:rPr>
      </w:pPr>
      <w:r>
        <w:rPr>
          <w:rFonts w:hint="eastAsia" w:eastAsia="仿宋_GB2312"/>
          <w:szCs w:val="32"/>
        </w:rPr>
        <w:t>根据人员变动</w:t>
      </w:r>
      <w:r>
        <w:rPr>
          <w:rFonts w:hint="eastAsia" w:ascii="仿宋_GB2312" w:eastAsia="仿宋_GB2312"/>
        </w:rPr>
        <w:t>调整政务公开领导小组</w:t>
      </w:r>
      <w:r>
        <w:rPr>
          <w:rFonts w:hint="eastAsia" w:eastAsia="仿宋_GB2312"/>
          <w:szCs w:val="32"/>
        </w:rPr>
        <w:t>，</w:t>
      </w:r>
      <w:r>
        <w:rPr>
          <w:rFonts w:eastAsia="仿宋_GB2312"/>
          <w:szCs w:val="32"/>
        </w:rPr>
        <w:t>明确工作重点和责任分工，主要领导亲自抓、分管领导具体抓，职能</w:t>
      </w:r>
      <w:r>
        <w:rPr>
          <w:rFonts w:hint="eastAsia" w:eastAsia="仿宋_GB2312"/>
          <w:szCs w:val="32"/>
        </w:rPr>
        <w:t>科室</w:t>
      </w:r>
      <w:r>
        <w:rPr>
          <w:rFonts w:eastAsia="仿宋_GB2312"/>
          <w:szCs w:val="32"/>
        </w:rPr>
        <w:t>抓落实，形成合力，为政府信息公开工作提供有力保障</w:t>
      </w:r>
      <w:r>
        <w:rPr>
          <w:rFonts w:hint="eastAsia" w:eastAsia="仿宋_GB2312"/>
          <w:szCs w:val="32"/>
        </w:rPr>
        <w:t>。办公室负责统筹政务公开各项工作，配备专职人员1名。做好业务培训，</w:t>
      </w:r>
      <w:r>
        <w:rPr>
          <w:rFonts w:hint="eastAsia" w:eastAsia="仿宋_GB2312"/>
          <w:szCs w:val="32"/>
          <w:lang w:val="en-US" w:eastAsia="zh-CN"/>
        </w:rPr>
        <w:t>制</w:t>
      </w:r>
      <w:bookmarkStart w:id="0" w:name="_GoBack"/>
      <w:bookmarkEnd w:id="0"/>
      <w:r>
        <w:rPr>
          <w:rFonts w:eastAsia="仿宋_GB2312"/>
          <w:szCs w:val="32"/>
        </w:rPr>
        <w:t>定《高青县综合行政执法局2023年政务公开工作培训计划》，组织开展政府信息公开工作专题培训</w:t>
      </w:r>
      <w:r>
        <w:rPr>
          <w:rFonts w:hint="eastAsia" w:eastAsia="仿宋_GB2312"/>
          <w:szCs w:val="32"/>
        </w:rPr>
        <w:t>2次</w:t>
      </w:r>
      <w:r>
        <w:rPr>
          <w:rFonts w:eastAsia="仿宋_GB2312"/>
          <w:szCs w:val="32"/>
        </w:rPr>
        <w:t>，提升机关处室和直属单位人员的公开意识</w:t>
      </w:r>
      <w:r>
        <w:rPr>
          <w:rFonts w:hint="eastAsia" w:eastAsia="仿宋_GB2312"/>
          <w:szCs w:val="32"/>
        </w:rPr>
        <w:t>。</w:t>
      </w:r>
    </w:p>
    <w:p>
      <w:pPr>
        <w:spacing w:line="240" w:lineRule="auto"/>
        <w:ind w:firstLine="640" w:firstLineChars="200"/>
        <w:rPr>
          <w:rFonts w:eastAsia="黑体"/>
          <w:szCs w:val="32"/>
        </w:rPr>
      </w:pPr>
      <w:r>
        <w:rPr>
          <w:rFonts w:eastAsia="黑体"/>
          <w:szCs w:val="32"/>
        </w:rPr>
        <w:t>二、主动公开政府信息情况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黑体"/>
                <w:sz w:val="20"/>
              </w:rPr>
            </w:pPr>
            <w:r>
              <w:rPr>
                <w:rFonts w:eastAsia="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2130"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w:t>
            </w:r>
            <w:r>
              <w:rPr>
                <w:rFonts w:eastAsia="宋体"/>
                <w:snapToGrid/>
                <w:sz w:val="20"/>
              </w:rPr>
              <w:t>制发件数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eastAsia="宋体"/>
                <w:snapToGrid/>
                <w:sz w:val="20"/>
              </w:rPr>
            </w:pPr>
            <w:r>
              <w:rPr>
                <w:rFonts w:eastAsia="宋体"/>
                <w:snapToGrid/>
                <w:color w:val="000000"/>
                <w:sz w:val="20"/>
              </w:rPr>
              <w:t>现行有效件</w:t>
            </w:r>
            <w:r>
              <w:rPr>
                <w:rFonts w:eastAsia="宋体"/>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规章</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行政规范性文件</w:t>
            </w:r>
          </w:p>
        </w:tc>
        <w:tc>
          <w:tcPr>
            <w:tcW w:w="2130"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c>
          <w:tcPr>
            <w:tcW w:w="2131" w:type="dxa"/>
            <w:vAlign w:val="center"/>
          </w:tcPr>
          <w:p>
            <w:pPr>
              <w:spacing w:line="240" w:lineRule="auto"/>
              <w:ind w:firstLine="0"/>
              <w:jc w:val="center"/>
              <w:rPr>
                <w:rFonts w:eastAsia="黑体"/>
                <w:sz w:val="20"/>
              </w:rPr>
            </w:pPr>
            <w:r>
              <w:rPr>
                <w:rFonts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行政许可</w:t>
            </w:r>
          </w:p>
        </w:tc>
        <w:tc>
          <w:tcPr>
            <w:tcW w:w="6392" w:type="dxa"/>
            <w:gridSpan w:val="3"/>
            <w:vAlign w:val="center"/>
          </w:tcPr>
          <w:p>
            <w:pPr>
              <w:spacing w:line="240" w:lineRule="auto"/>
              <w:ind w:firstLine="0"/>
              <w:jc w:val="center"/>
              <w:rPr>
                <w:rFonts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行政处罚</w:t>
            </w:r>
          </w:p>
        </w:tc>
        <w:tc>
          <w:tcPr>
            <w:tcW w:w="6392" w:type="dxa"/>
            <w:gridSpan w:val="3"/>
            <w:vAlign w:val="center"/>
          </w:tcPr>
          <w:p>
            <w:pPr>
              <w:spacing w:line="240" w:lineRule="auto"/>
              <w:ind w:firstLine="0"/>
              <w:jc w:val="center"/>
              <w:rPr>
                <w:rFonts w:eastAsia="黑体"/>
                <w:sz w:val="20"/>
              </w:rPr>
            </w:pPr>
            <w:r>
              <w:rPr>
                <w:rFonts w:hint="eastAsia" w:ascii="黑体" w:hAnsi="黑体" w:eastAsia="黑体"/>
                <w:sz w:val="20"/>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行政强制</w:t>
            </w:r>
          </w:p>
        </w:tc>
        <w:tc>
          <w:tcPr>
            <w:tcW w:w="6392" w:type="dxa"/>
            <w:gridSpan w:val="3"/>
            <w:vAlign w:val="center"/>
          </w:tcPr>
          <w:p>
            <w:pPr>
              <w:spacing w:line="240" w:lineRule="auto"/>
              <w:ind w:firstLine="0"/>
              <w:jc w:val="center"/>
              <w:rPr>
                <w:rFonts w:eastAsia="黑体"/>
                <w:sz w:val="20"/>
              </w:rPr>
            </w:pPr>
            <w:r>
              <w:rPr>
                <w:rFonts w:hint="eastAsia" w:ascii="黑体" w:hAnsi="黑体" w:eastAsia="黑体"/>
                <w:sz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eastAsia="宋体"/>
                <w:snapToGrid/>
                <w:color w:val="000000"/>
                <w:sz w:val="20"/>
              </w:rPr>
            </w:pPr>
            <w:r>
              <w:rPr>
                <w:rFonts w:eastAsia="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eastAsia="宋体"/>
                <w:snapToGrid/>
                <w:color w:val="000000"/>
                <w:sz w:val="20"/>
              </w:rPr>
            </w:pPr>
            <w:r>
              <w:rPr>
                <w:rFonts w:eastAsia="宋体"/>
                <w:snapToGrid/>
                <w:color w:val="000000"/>
                <w:sz w:val="20"/>
              </w:rPr>
              <w:t>信息内容</w:t>
            </w:r>
          </w:p>
        </w:tc>
        <w:tc>
          <w:tcPr>
            <w:tcW w:w="6392" w:type="dxa"/>
            <w:gridSpan w:val="3"/>
            <w:vAlign w:val="center"/>
          </w:tcPr>
          <w:p>
            <w:pPr>
              <w:spacing w:line="240" w:lineRule="auto"/>
              <w:ind w:firstLine="0"/>
              <w:jc w:val="center"/>
              <w:rPr>
                <w:rFonts w:eastAsia="黑体"/>
                <w:sz w:val="20"/>
              </w:rPr>
            </w:pPr>
            <w:r>
              <w:rPr>
                <w:rFonts w:eastAsia="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eastAsia="宋体"/>
                <w:snapToGrid/>
                <w:color w:val="000000"/>
                <w:sz w:val="20"/>
              </w:rPr>
            </w:pPr>
            <w:r>
              <w:rPr>
                <w:rFonts w:eastAsia="宋体"/>
                <w:snapToGrid/>
                <w:color w:val="000000"/>
                <w:sz w:val="20"/>
              </w:rPr>
              <w:t>行政事业性收费</w:t>
            </w:r>
          </w:p>
        </w:tc>
        <w:tc>
          <w:tcPr>
            <w:tcW w:w="6392" w:type="dxa"/>
            <w:gridSpan w:val="3"/>
            <w:vAlign w:val="center"/>
          </w:tcPr>
          <w:p>
            <w:pPr>
              <w:spacing w:line="240" w:lineRule="auto"/>
              <w:ind w:firstLine="0"/>
              <w:jc w:val="center"/>
              <w:rPr>
                <w:rFonts w:eastAsia="黑体"/>
                <w:sz w:val="20"/>
              </w:rPr>
            </w:pPr>
            <w:r>
              <w:rPr>
                <w:rFonts w:eastAsia="黑体"/>
                <w:sz w:val="20"/>
              </w:rPr>
              <w:t>0</w:t>
            </w:r>
          </w:p>
        </w:tc>
      </w:tr>
    </w:tbl>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0"/>
        <w:rPr>
          <w:rFonts w:eastAsia="黑体"/>
          <w:sz w:val="30"/>
          <w:szCs w:val="30"/>
        </w:rPr>
      </w:pPr>
    </w:p>
    <w:p>
      <w:pPr>
        <w:spacing w:line="240" w:lineRule="auto"/>
        <w:ind w:firstLine="640" w:firstLineChars="200"/>
        <w:rPr>
          <w:rFonts w:eastAsia="黑体"/>
          <w:szCs w:val="32"/>
        </w:rPr>
      </w:pPr>
    </w:p>
    <w:p>
      <w:pPr>
        <w:spacing w:line="240" w:lineRule="auto"/>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商业</w:t>
            </w:r>
          </w:p>
          <w:p>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科研</w:t>
            </w:r>
          </w:p>
          <w:p>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2</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trHeight w:val="275"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2</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bl>
    <w:p>
      <w:pPr>
        <w:spacing w:line="240" w:lineRule="auto"/>
        <w:ind w:firstLine="600" w:firstLineChars="200"/>
        <w:rPr>
          <w:rFonts w:eastAsia="黑体"/>
          <w:sz w:val="30"/>
          <w:szCs w:val="30"/>
        </w:rPr>
      </w:pPr>
    </w:p>
    <w:p>
      <w:pPr>
        <w:spacing w:line="240" w:lineRule="auto"/>
        <w:ind w:firstLine="640" w:firstLineChars="200"/>
        <w:rPr>
          <w:rFonts w:eastAsia="黑体"/>
          <w:szCs w:val="32"/>
        </w:rPr>
      </w:pPr>
    </w:p>
    <w:p>
      <w:pPr>
        <w:spacing w:line="240" w:lineRule="auto"/>
        <w:ind w:firstLine="640" w:firstLineChars="200"/>
        <w:rPr>
          <w:rFonts w:eastAsia="黑体"/>
          <w:sz w:val="30"/>
          <w:szCs w:val="30"/>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eastAsia="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type="textWrapping"/>
            </w:r>
            <w:r>
              <w:rPr>
                <w:rFonts w:eastAsia="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type="textWrapping"/>
            </w:r>
            <w:r>
              <w:rPr>
                <w:rFonts w:eastAsia="宋体"/>
                <w:snapToGrid/>
                <w:sz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其他</w:t>
            </w:r>
            <w:r>
              <w:rPr>
                <w:rFonts w:eastAsia="宋体"/>
                <w:snapToGrid/>
                <w:color w:val="000000"/>
                <w:sz w:val="20"/>
              </w:rPr>
              <w:br w:type="textWrapping"/>
            </w:r>
            <w:r>
              <w:rPr>
                <w:rFonts w:eastAsia="宋体"/>
                <w:snapToGrid/>
                <w:color w:val="000000"/>
                <w:sz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type="textWrapping"/>
            </w:r>
            <w:r>
              <w:rPr>
                <w:rFonts w:eastAsia="宋体"/>
                <w:snapToGrid/>
                <w:sz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eastAsia="宋体"/>
                <w:snapToGrid/>
                <w:sz w:val="24"/>
                <w:szCs w:val="24"/>
              </w:rPr>
            </w:pPr>
            <w:r>
              <w:rPr>
                <w:rFonts w:eastAsia="宋体"/>
                <w:snapToGrid/>
                <w:sz w:val="20"/>
              </w:rPr>
              <w:t>0</w:t>
            </w:r>
          </w:p>
        </w:tc>
      </w:tr>
    </w:tbl>
    <w:p>
      <w:pPr>
        <w:spacing w:line="560" w:lineRule="exact"/>
        <w:ind w:firstLine="640" w:firstLineChars="200"/>
        <w:rPr>
          <w:rFonts w:eastAsia="黑体"/>
          <w:szCs w:val="32"/>
        </w:rPr>
      </w:pPr>
      <w:r>
        <w:rPr>
          <w:rFonts w:eastAsia="黑体"/>
          <w:szCs w:val="32"/>
        </w:rPr>
        <w:t>五、存在的主要问题及改进情况</w:t>
      </w:r>
    </w:p>
    <w:p>
      <w:pPr>
        <w:spacing w:line="560" w:lineRule="exact"/>
        <w:ind w:firstLine="640" w:firstLineChars="200"/>
        <w:rPr>
          <w:rFonts w:eastAsia="楷体_GB2312"/>
          <w:szCs w:val="32"/>
        </w:rPr>
      </w:pPr>
      <w:r>
        <w:rPr>
          <w:rFonts w:eastAsia="楷体_GB2312"/>
          <w:szCs w:val="32"/>
        </w:rPr>
        <w:t>（一）存在问题</w:t>
      </w:r>
    </w:p>
    <w:p>
      <w:pPr>
        <w:spacing w:line="560" w:lineRule="exact"/>
        <w:ind w:firstLine="640" w:firstLineChars="200"/>
        <w:rPr>
          <w:rFonts w:eastAsia="仿宋_GB2312"/>
          <w:szCs w:val="32"/>
        </w:rPr>
      </w:pPr>
      <w:r>
        <w:rPr>
          <w:rFonts w:hint="eastAsia" w:eastAsia="仿宋_GB2312"/>
          <w:szCs w:val="32"/>
        </w:rPr>
        <w:t>一是</w:t>
      </w:r>
      <w:r>
        <w:rPr>
          <w:rFonts w:eastAsia="仿宋_GB2312"/>
          <w:szCs w:val="32"/>
        </w:rPr>
        <w:t>信息更新还不够及时高效。信息公开存在一定的滞后性，</w:t>
      </w:r>
      <w:r>
        <w:rPr>
          <w:rFonts w:hint="eastAsia" w:eastAsia="仿宋_GB2312"/>
          <w:szCs w:val="32"/>
        </w:rPr>
        <w:t>有的信息没有按照规定的时限要求在县政府门户网站予以公开。</w:t>
      </w:r>
    </w:p>
    <w:p>
      <w:pPr>
        <w:spacing w:line="560" w:lineRule="exact"/>
        <w:ind w:firstLine="640" w:firstLineChars="200"/>
        <w:rPr>
          <w:rFonts w:eastAsia="仿宋_GB2312"/>
          <w:szCs w:val="32"/>
        </w:rPr>
      </w:pPr>
      <w:r>
        <w:rPr>
          <w:rFonts w:hint="eastAsia" w:eastAsia="仿宋_GB2312"/>
          <w:szCs w:val="32"/>
        </w:rPr>
        <w:t>二是</w:t>
      </w:r>
      <w:r>
        <w:rPr>
          <w:rFonts w:eastAsia="仿宋_GB2312"/>
          <w:szCs w:val="32"/>
        </w:rPr>
        <w:t>相关工作人员专业技能有所欠缺，业务能力有所不足，缺少针对性的培训。</w:t>
      </w:r>
    </w:p>
    <w:p>
      <w:pPr>
        <w:spacing w:line="560" w:lineRule="exact"/>
        <w:ind w:firstLine="640" w:firstLineChars="200"/>
        <w:rPr>
          <w:rFonts w:eastAsia="楷体_GB2312"/>
          <w:szCs w:val="32"/>
        </w:rPr>
      </w:pPr>
      <w:r>
        <w:rPr>
          <w:rFonts w:eastAsia="楷体_GB2312"/>
          <w:szCs w:val="32"/>
        </w:rPr>
        <w:t>（二）改进情况</w:t>
      </w:r>
    </w:p>
    <w:p>
      <w:pPr>
        <w:spacing w:line="560" w:lineRule="exact"/>
        <w:ind w:firstLine="640" w:firstLineChars="200"/>
        <w:rPr>
          <w:rFonts w:eastAsia="仿宋_GB2312"/>
          <w:szCs w:val="32"/>
        </w:rPr>
      </w:pPr>
      <w:r>
        <w:rPr>
          <w:rFonts w:hint="eastAsia" w:eastAsia="仿宋_GB2312"/>
          <w:szCs w:val="32"/>
        </w:rPr>
        <w:t>一是进一步加强政务公开标准化规范化建设，按照主动公开基本目录、基层政务公开事项标准化目录要求，逐项信息明确公开内容、公开时限，特别是对行政处罚类信息，严格按照在作出处罚决定之日起7个工作日内工作的要求进行公开，有效提高了信息公开的规范化水平。</w:t>
      </w:r>
    </w:p>
    <w:p>
      <w:pPr>
        <w:spacing w:line="560" w:lineRule="exact"/>
        <w:ind w:firstLine="640" w:firstLineChars="200"/>
        <w:rPr>
          <w:rFonts w:eastAsia="仿宋_GB2312"/>
          <w:szCs w:val="32"/>
        </w:rPr>
      </w:pPr>
      <w:r>
        <w:rPr>
          <w:rFonts w:hint="eastAsia" w:eastAsia="仿宋_GB2312"/>
          <w:szCs w:val="32"/>
        </w:rPr>
        <w:t>二是</w:t>
      </w:r>
      <w:r>
        <w:rPr>
          <w:rFonts w:eastAsia="仿宋_GB2312"/>
          <w:szCs w:val="32"/>
        </w:rPr>
        <w:t>加强培训与业务指导，认真学习借鉴先进做法和典型经典，</w:t>
      </w:r>
      <w:r>
        <w:rPr>
          <w:rFonts w:hint="eastAsia" w:eastAsia="仿宋_GB2312"/>
          <w:szCs w:val="32"/>
        </w:rPr>
        <w:t>通过专题培训会、小组研讨会等方式开展业务培训，共组织培训2次，并选派1名工作人员到县政府办公室政务公开科进行跟班学习，提高了政务公开工作人员业务水平。</w:t>
      </w:r>
    </w:p>
    <w:p>
      <w:pPr>
        <w:spacing w:line="560" w:lineRule="exact"/>
        <w:ind w:firstLine="640" w:firstLineChars="200"/>
        <w:rPr>
          <w:rFonts w:eastAsia="黑体"/>
          <w:szCs w:val="32"/>
        </w:rPr>
      </w:pPr>
      <w:r>
        <w:rPr>
          <w:rFonts w:eastAsia="黑体"/>
          <w:szCs w:val="32"/>
        </w:rPr>
        <w:t>六、其他需要报告的事项</w:t>
      </w:r>
    </w:p>
    <w:p>
      <w:pPr>
        <w:spacing w:line="560" w:lineRule="exact"/>
        <w:ind w:firstLine="640" w:firstLineChars="200"/>
        <w:rPr>
          <w:rFonts w:eastAsia="楷体_GB2312"/>
          <w:szCs w:val="32"/>
        </w:rPr>
      </w:pPr>
      <w:r>
        <w:rPr>
          <w:rFonts w:eastAsia="楷体_GB2312"/>
          <w:szCs w:val="32"/>
        </w:rPr>
        <w:t>（一）政府信息公开信息处理费收取情况</w:t>
      </w:r>
    </w:p>
    <w:p>
      <w:pPr>
        <w:spacing w:line="560" w:lineRule="exact"/>
        <w:ind w:firstLine="640" w:firstLineChars="200"/>
        <w:rPr>
          <w:rFonts w:eastAsia="仿宋_GB2312"/>
          <w:szCs w:val="32"/>
        </w:rPr>
      </w:pPr>
      <w:r>
        <w:rPr>
          <w:rFonts w:hint="eastAsia"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rPr>
          <w:rFonts w:eastAsia="楷体_GB2312"/>
          <w:szCs w:val="32"/>
        </w:rPr>
      </w:pPr>
      <w:r>
        <w:rPr>
          <w:rFonts w:eastAsia="楷体_GB2312"/>
          <w:szCs w:val="32"/>
        </w:rPr>
        <w:t>（二）落实上级年度政务公开工作要点情况</w:t>
      </w:r>
    </w:p>
    <w:p>
      <w:pPr>
        <w:ind w:firstLine="640" w:firstLineChars="200"/>
        <w:jc w:val="left"/>
        <w:rPr>
          <w:rFonts w:eastAsia="仿宋_GB2312"/>
          <w:szCs w:val="32"/>
        </w:rPr>
      </w:pPr>
      <w:r>
        <w:rPr>
          <w:rFonts w:hint="eastAsia" w:eastAsia="仿宋_GB2312"/>
          <w:szCs w:val="32"/>
        </w:rPr>
        <w:t>根据《2023年山东省政务公开工作要点》《2023年淄博市政务公开工作方案》《2023年高青县政务公开工作方案》，</w:t>
      </w:r>
      <w:r>
        <w:rPr>
          <w:rFonts w:eastAsia="仿宋_GB2312"/>
          <w:szCs w:val="32"/>
        </w:rPr>
        <w:t>制定了《高青县综合行政执法局政务公开工作方案》，</w:t>
      </w:r>
      <w:r>
        <w:rPr>
          <w:rFonts w:hint="eastAsia" w:eastAsia="仿宋_GB2312"/>
          <w:szCs w:val="32"/>
        </w:rPr>
        <w:t>推动各项任务落实</w:t>
      </w:r>
      <w:r>
        <w:rPr>
          <w:rFonts w:eastAsia="仿宋_GB2312"/>
          <w:szCs w:val="32"/>
        </w:rPr>
        <w:t>。</w:t>
      </w:r>
      <w:r>
        <w:rPr>
          <w:rFonts w:hint="eastAsia" w:eastAsia="仿宋_GB2312"/>
          <w:szCs w:val="32"/>
        </w:rPr>
        <w:t>一</w:t>
      </w:r>
      <w:r>
        <w:rPr>
          <w:rFonts w:eastAsia="仿宋_GB2312"/>
          <w:szCs w:val="32"/>
        </w:rPr>
        <w:t>是</w:t>
      </w:r>
      <w:r>
        <w:rPr>
          <w:rFonts w:hint="eastAsia" w:eastAsia="仿宋_GB2312"/>
          <w:szCs w:val="32"/>
        </w:rPr>
        <w:t>规范行政执法信息公开。</w:t>
      </w:r>
      <w:r>
        <w:rPr>
          <w:rFonts w:eastAsia="仿宋_GB2312"/>
          <w:szCs w:val="32"/>
        </w:rPr>
        <w:t>推行行政执法公示制度，按照“谁执法、谁公示”原则，及时公示行政执法信息，公示行政处罚案件46件，做到应公示尽公示。常态化应用“互联网+监管”“双随机、一公开”平台。 “互联网+监管”共发布监管动态28条，行政检查监管信息145条，由本级监管的16项检查事项实现全覆盖，覆盖率、及时率、准确率均达100%。</w:t>
      </w:r>
      <w:r>
        <w:rPr>
          <w:rFonts w:hint="eastAsia" w:eastAsia="仿宋_GB2312"/>
          <w:szCs w:val="32"/>
        </w:rPr>
        <w:t>二是规范行政权力事项信息公开。</w:t>
      </w:r>
      <w:r>
        <w:rPr>
          <w:rFonts w:eastAsia="仿宋_GB2312"/>
          <w:szCs w:val="32"/>
        </w:rPr>
        <w:t>通过“山东省政务服务事项标准化梳理和管理系统”，对9项行政备案及其他行政权力事项、12项行政许可事项进行梳理，完善实施要素并及时发布，为群众办理业务提供便利。</w:t>
      </w:r>
      <w:r>
        <w:rPr>
          <w:rFonts w:hint="eastAsia" w:eastAsia="仿宋_GB2312"/>
          <w:szCs w:val="32"/>
        </w:rPr>
        <w:t>三是</w:t>
      </w:r>
      <w:r>
        <w:rPr>
          <w:rFonts w:eastAsia="仿宋_GB2312"/>
          <w:szCs w:val="32"/>
        </w:rPr>
        <w:t>加大普法</w:t>
      </w:r>
      <w:r>
        <w:rPr>
          <w:rFonts w:hint="eastAsia" w:eastAsia="仿宋_GB2312"/>
          <w:szCs w:val="32"/>
        </w:rPr>
        <w:t>信息公开</w:t>
      </w:r>
      <w:r>
        <w:rPr>
          <w:rFonts w:eastAsia="仿宋_GB2312"/>
          <w:szCs w:val="32"/>
        </w:rPr>
        <w:t>，营造法治环境。贯彻“谁执法、谁普法”普法责任制，制定2023年度普法工作计划和责任清单，组织开展“树民法信仰，‘典’法之光芒”等宣传活动，大力普及《淄博市全域公园城市建设管理条例》等与城市管理工作相关的法律法规，开展“一线普法”</w:t>
      </w:r>
      <w:r>
        <w:rPr>
          <w:rFonts w:hint="eastAsia" w:eastAsia="仿宋_GB2312"/>
          <w:szCs w:val="32"/>
        </w:rPr>
        <w:t>信息公开</w:t>
      </w:r>
      <w:r>
        <w:rPr>
          <w:rFonts w:eastAsia="仿宋_GB2312"/>
          <w:szCs w:val="32"/>
        </w:rPr>
        <w:t>。</w:t>
      </w:r>
    </w:p>
    <w:p>
      <w:pPr>
        <w:spacing w:line="560" w:lineRule="exact"/>
        <w:ind w:firstLine="640" w:firstLineChars="200"/>
        <w:rPr>
          <w:rFonts w:eastAsia="楷体_GB2312"/>
          <w:szCs w:val="32"/>
        </w:rPr>
      </w:pPr>
      <w:r>
        <w:rPr>
          <w:rFonts w:eastAsia="楷体_GB2312"/>
          <w:szCs w:val="32"/>
        </w:rPr>
        <w:t>（三）人大代表建议和政协提案办理结果公开情况</w:t>
      </w:r>
    </w:p>
    <w:p>
      <w:pPr>
        <w:spacing w:line="560" w:lineRule="exact"/>
        <w:ind w:firstLine="640" w:firstLineChars="200"/>
        <w:rPr>
          <w:rFonts w:eastAsia="仿宋_GB2312"/>
          <w:szCs w:val="32"/>
        </w:rPr>
      </w:pPr>
      <w:r>
        <w:rPr>
          <w:rFonts w:eastAsia="仿宋_GB2312"/>
          <w:szCs w:val="32"/>
        </w:rPr>
        <w:t>2023年共承办县十八届人大二次会议建议3件，承办县政协十五届二次会议提案23件，办复率均为100%。除涉及国家秘密、工作秘密的，所有建议提案办理复文或摘要以及办理总体情况均在县政府门户网站建议提案办理专题中予以公开。</w:t>
      </w:r>
    </w:p>
    <w:p>
      <w:pPr>
        <w:spacing w:line="560" w:lineRule="exact"/>
        <w:ind w:firstLine="640" w:firstLineChars="200"/>
        <w:rPr>
          <w:rFonts w:eastAsia="楷体_GB2312"/>
          <w:szCs w:val="32"/>
        </w:rPr>
      </w:pPr>
      <w:r>
        <w:rPr>
          <w:rFonts w:eastAsia="楷体_GB2312"/>
          <w:szCs w:val="32"/>
        </w:rPr>
        <w:t>（四）政务公开工作创新情况</w:t>
      </w:r>
    </w:p>
    <w:p>
      <w:pPr>
        <w:spacing w:line="560" w:lineRule="exact"/>
        <w:ind w:firstLineChars="195"/>
        <w:rPr>
          <w:rFonts w:eastAsia="仿宋_GB2312"/>
          <w:szCs w:val="32"/>
        </w:rPr>
      </w:pPr>
      <w:r>
        <w:rPr>
          <w:rFonts w:hint="eastAsia" w:eastAsia="仿宋_GB2312"/>
          <w:szCs w:val="32"/>
        </w:rPr>
        <w:t>创新开展政民互动。</w:t>
      </w:r>
      <w:r>
        <w:rPr>
          <w:rFonts w:eastAsia="仿宋_GB2312"/>
          <w:szCs w:val="32"/>
        </w:rPr>
        <w:t>面向社会聘任22名城市管理社会监督员，包括县人大代表、政协委员，党政机关、企事业单位工作人员，新闻和法律工作者，社会志愿者等各个领域。定期召开“面对面”座谈交流会3次，认真梳理、回复和吸纳意见建议40余条，及时主动向社会监督员传达城市管理工作动态。组织开展“市民代表看城市变化”活动，邀请社会监督员“零距离”参观体验青西游园、国井大道带状公园及碧桂园物业管理项目，感受城市管理新变化，进一步提高群众满意度。</w:t>
      </w:r>
    </w:p>
    <w:p>
      <w:pPr>
        <w:spacing w:line="560" w:lineRule="exact"/>
        <w:ind w:firstLine="640" w:firstLineChars="200"/>
        <w:rPr>
          <w:rFonts w:eastAsia="楷体_GB2312"/>
          <w:szCs w:val="32"/>
        </w:rPr>
      </w:pPr>
      <w:r>
        <w:rPr>
          <w:rFonts w:eastAsia="楷体_GB2312"/>
          <w:szCs w:val="32"/>
        </w:rPr>
        <w:t>（五）有关数据统计说明</w:t>
      </w:r>
    </w:p>
    <w:p>
      <w:pPr>
        <w:spacing w:line="560" w:lineRule="exact"/>
        <w:ind w:firstLine="640" w:firstLineChars="200"/>
        <w:rPr>
          <w:rFonts w:eastAsia="仿宋_GB2312"/>
          <w:szCs w:val="32"/>
        </w:rPr>
      </w:pPr>
      <w:r>
        <w:rPr>
          <w:rFonts w:eastAsia="仿宋_GB2312"/>
          <w:szCs w:val="32"/>
        </w:rPr>
        <w:t>1.报告中所列数据可能因四舍五入原因与数据直接相加之和存在尾数差异。</w:t>
      </w:r>
    </w:p>
    <w:p>
      <w:pPr>
        <w:spacing w:line="560" w:lineRule="exact"/>
        <w:ind w:firstLine="640" w:firstLineChars="200"/>
        <w:rPr>
          <w:rFonts w:eastAsia="仿宋_GB2312"/>
          <w:szCs w:val="32"/>
        </w:rPr>
      </w:pPr>
      <w:r>
        <w:rPr>
          <w:rFonts w:eastAsia="仿宋_GB2312"/>
          <w:szCs w:val="32"/>
        </w:rPr>
        <w:t>2.行政许可数量、行政处罚和行政强制数量，包括已公开和依法未公开的全部处理决定。</w:t>
      </w:r>
    </w:p>
    <w:p>
      <w:pPr>
        <w:spacing w:line="560" w:lineRule="exact"/>
        <w:ind w:firstLine="640" w:firstLineChars="200"/>
        <w:rPr>
          <w:rFonts w:eastAsia="仿宋_GB2312"/>
          <w:szCs w:val="32"/>
        </w:rPr>
      </w:pPr>
      <w:r>
        <w:rPr>
          <w:rFonts w:eastAsia="仿宋_GB2312"/>
          <w:szCs w:val="32"/>
        </w:rPr>
        <w:t>3.行政复议机关作为共同被告的行政诉讼案件，只计算原行为主体的案件数量，不计算行政复议机关的案件数量。</w:t>
      </w:r>
    </w:p>
    <w:p>
      <w:pPr>
        <w:spacing w:line="560" w:lineRule="exact"/>
        <w:ind w:firstLine="600" w:firstLineChars="200"/>
        <w:rPr>
          <w:rFonts w:eastAsia="楷体_GB2312"/>
          <w:sz w:val="30"/>
          <w:szCs w:val="30"/>
        </w:rPr>
      </w:pPr>
    </w:p>
    <w:sectPr>
      <w:pgSz w:w="11906" w:h="16838"/>
      <w:pgMar w:top="1984" w:right="1474" w:bottom="187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NjgwNjNiY2JlMzNkMjdjNGY3ZDBjMjBlNjE3YzMifQ=="/>
  </w:docVars>
  <w:rsids>
    <w:rsidRoot w:val="002E3543"/>
    <w:rsid w:val="000164E6"/>
    <w:rsid w:val="00024945"/>
    <w:rsid w:val="00036186"/>
    <w:rsid w:val="00110130"/>
    <w:rsid w:val="00117733"/>
    <w:rsid w:val="00121DCF"/>
    <w:rsid w:val="00210F4D"/>
    <w:rsid w:val="00211942"/>
    <w:rsid w:val="002133C7"/>
    <w:rsid w:val="0024298D"/>
    <w:rsid w:val="002961F2"/>
    <w:rsid w:val="002E3543"/>
    <w:rsid w:val="00341887"/>
    <w:rsid w:val="003B5255"/>
    <w:rsid w:val="003D6FCB"/>
    <w:rsid w:val="003E75A6"/>
    <w:rsid w:val="00415AB1"/>
    <w:rsid w:val="00417EF4"/>
    <w:rsid w:val="00451EF3"/>
    <w:rsid w:val="004622F8"/>
    <w:rsid w:val="00491430"/>
    <w:rsid w:val="004C1750"/>
    <w:rsid w:val="004C4C1C"/>
    <w:rsid w:val="004D241E"/>
    <w:rsid w:val="004D5786"/>
    <w:rsid w:val="00515DB1"/>
    <w:rsid w:val="00523855"/>
    <w:rsid w:val="005422B3"/>
    <w:rsid w:val="00591E5D"/>
    <w:rsid w:val="005C0F41"/>
    <w:rsid w:val="005F0C4E"/>
    <w:rsid w:val="0065765D"/>
    <w:rsid w:val="00673AC7"/>
    <w:rsid w:val="006947A5"/>
    <w:rsid w:val="006D3FD4"/>
    <w:rsid w:val="00704FCD"/>
    <w:rsid w:val="007B0940"/>
    <w:rsid w:val="007F07A4"/>
    <w:rsid w:val="008108BD"/>
    <w:rsid w:val="008C4ED2"/>
    <w:rsid w:val="00915D0B"/>
    <w:rsid w:val="00940577"/>
    <w:rsid w:val="00957ECA"/>
    <w:rsid w:val="009B028C"/>
    <w:rsid w:val="00A031A8"/>
    <w:rsid w:val="00A93973"/>
    <w:rsid w:val="00AB5D1A"/>
    <w:rsid w:val="00B36356"/>
    <w:rsid w:val="00B76409"/>
    <w:rsid w:val="00C542CC"/>
    <w:rsid w:val="00C67940"/>
    <w:rsid w:val="00C73BD0"/>
    <w:rsid w:val="00CC2BE7"/>
    <w:rsid w:val="00CC521B"/>
    <w:rsid w:val="00CD1D00"/>
    <w:rsid w:val="00E60B5D"/>
    <w:rsid w:val="00EA0721"/>
    <w:rsid w:val="00EF5607"/>
    <w:rsid w:val="00F52E49"/>
    <w:rsid w:val="00FA216A"/>
    <w:rsid w:val="00FD5381"/>
    <w:rsid w:val="013E3264"/>
    <w:rsid w:val="01D13D4F"/>
    <w:rsid w:val="01F82835"/>
    <w:rsid w:val="01FB40D3"/>
    <w:rsid w:val="02B33676"/>
    <w:rsid w:val="02B7546E"/>
    <w:rsid w:val="03134EBC"/>
    <w:rsid w:val="033E651C"/>
    <w:rsid w:val="043A35D9"/>
    <w:rsid w:val="058D14E6"/>
    <w:rsid w:val="07034156"/>
    <w:rsid w:val="072F6604"/>
    <w:rsid w:val="077C3C20"/>
    <w:rsid w:val="084367D4"/>
    <w:rsid w:val="08793F32"/>
    <w:rsid w:val="08D66B1B"/>
    <w:rsid w:val="0AB45767"/>
    <w:rsid w:val="0EC046DA"/>
    <w:rsid w:val="0F024CF3"/>
    <w:rsid w:val="0FDF0D69"/>
    <w:rsid w:val="105013C5"/>
    <w:rsid w:val="108A1444"/>
    <w:rsid w:val="10D10EB2"/>
    <w:rsid w:val="10E02E12"/>
    <w:rsid w:val="16636121"/>
    <w:rsid w:val="17B51DF3"/>
    <w:rsid w:val="18386280"/>
    <w:rsid w:val="18696008"/>
    <w:rsid w:val="18DD236B"/>
    <w:rsid w:val="18DE48B4"/>
    <w:rsid w:val="18F04261"/>
    <w:rsid w:val="193E56BF"/>
    <w:rsid w:val="19EC2DA2"/>
    <w:rsid w:val="1BCD0437"/>
    <w:rsid w:val="1C2362A8"/>
    <w:rsid w:val="1D584EAC"/>
    <w:rsid w:val="20F124D5"/>
    <w:rsid w:val="215F7D83"/>
    <w:rsid w:val="23B556D9"/>
    <w:rsid w:val="23BF0FAD"/>
    <w:rsid w:val="23F03E19"/>
    <w:rsid w:val="28B90171"/>
    <w:rsid w:val="28C80903"/>
    <w:rsid w:val="29F55728"/>
    <w:rsid w:val="2A8F2372"/>
    <w:rsid w:val="2C3A5674"/>
    <w:rsid w:val="2D0C0574"/>
    <w:rsid w:val="2DC712B5"/>
    <w:rsid w:val="2F2C2FCC"/>
    <w:rsid w:val="2F611A30"/>
    <w:rsid w:val="308B72E0"/>
    <w:rsid w:val="31D42705"/>
    <w:rsid w:val="322C5A5F"/>
    <w:rsid w:val="329671D4"/>
    <w:rsid w:val="32B902C1"/>
    <w:rsid w:val="34126ED7"/>
    <w:rsid w:val="34234C18"/>
    <w:rsid w:val="360A4A2E"/>
    <w:rsid w:val="38673C95"/>
    <w:rsid w:val="38E2747C"/>
    <w:rsid w:val="396E65D0"/>
    <w:rsid w:val="39D07647"/>
    <w:rsid w:val="3A4264E0"/>
    <w:rsid w:val="3A7A77C8"/>
    <w:rsid w:val="3B0C207C"/>
    <w:rsid w:val="3BFF2436"/>
    <w:rsid w:val="3C9E57AB"/>
    <w:rsid w:val="3D333923"/>
    <w:rsid w:val="3F8213B4"/>
    <w:rsid w:val="3FDC5A97"/>
    <w:rsid w:val="40C15F4C"/>
    <w:rsid w:val="410D1532"/>
    <w:rsid w:val="419453CF"/>
    <w:rsid w:val="43DF5F0B"/>
    <w:rsid w:val="446217B4"/>
    <w:rsid w:val="4528125A"/>
    <w:rsid w:val="4577303D"/>
    <w:rsid w:val="45970D27"/>
    <w:rsid w:val="45A92A42"/>
    <w:rsid w:val="4622744D"/>
    <w:rsid w:val="4738783A"/>
    <w:rsid w:val="48272AF9"/>
    <w:rsid w:val="4950607F"/>
    <w:rsid w:val="4A3452BB"/>
    <w:rsid w:val="4A602CC9"/>
    <w:rsid w:val="4AB97C54"/>
    <w:rsid w:val="4BEA4569"/>
    <w:rsid w:val="4C48162C"/>
    <w:rsid w:val="4C5B1643"/>
    <w:rsid w:val="4D64034B"/>
    <w:rsid w:val="4E0F02B7"/>
    <w:rsid w:val="4F2159BA"/>
    <w:rsid w:val="50B60EBE"/>
    <w:rsid w:val="51A727CC"/>
    <w:rsid w:val="541E10A8"/>
    <w:rsid w:val="54E7647B"/>
    <w:rsid w:val="54F16968"/>
    <w:rsid w:val="54FF095A"/>
    <w:rsid w:val="55296F28"/>
    <w:rsid w:val="556842F3"/>
    <w:rsid w:val="5572740F"/>
    <w:rsid w:val="55A23135"/>
    <w:rsid w:val="55FD133D"/>
    <w:rsid w:val="57BC2B32"/>
    <w:rsid w:val="5886561A"/>
    <w:rsid w:val="58BB6B3E"/>
    <w:rsid w:val="592F2653"/>
    <w:rsid w:val="5B982E74"/>
    <w:rsid w:val="5BA02CC7"/>
    <w:rsid w:val="5CF7587D"/>
    <w:rsid w:val="5D576714"/>
    <w:rsid w:val="60015C19"/>
    <w:rsid w:val="602A71D2"/>
    <w:rsid w:val="611A0FF5"/>
    <w:rsid w:val="61C51A6B"/>
    <w:rsid w:val="61F061FA"/>
    <w:rsid w:val="63300ADB"/>
    <w:rsid w:val="63892462"/>
    <w:rsid w:val="66AD7DAE"/>
    <w:rsid w:val="66BE0674"/>
    <w:rsid w:val="66DF23AF"/>
    <w:rsid w:val="68342513"/>
    <w:rsid w:val="68790CF7"/>
    <w:rsid w:val="6888718C"/>
    <w:rsid w:val="68FB0942"/>
    <w:rsid w:val="69007BDA"/>
    <w:rsid w:val="694C01BA"/>
    <w:rsid w:val="6A682AA6"/>
    <w:rsid w:val="6B054AC4"/>
    <w:rsid w:val="6B7B6B34"/>
    <w:rsid w:val="6D7E46BA"/>
    <w:rsid w:val="6F3C108A"/>
    <w:rsid w:val="712B6906"/>
    <w:rsid w:val="714B51FB"/>
    <w:rsid w:val="737D2062"/>
    <w:rsid w:val="73CD1EF7"/>
    <w:rsid w:val="740F4A85"/>
    <w:rsid w:val="743046BC"/>
    <w:rsid w:val="74E37836"/>
    <w:rsid w:val="76FA1255"/>
    <w:rsid w:val="771744EE"/>
    <w:rsid w:val="778B45A3"/>
    <w:rsid w:val="79096067"/>
    <w:rsid w:val="79DD58CC"/>
    <w:rsid w:val="7A654BD8"/>
    <w:rsid w:val="7A6B246A"/>
    <w:rsid w:val="7C660BE9"/>
    <w:rsid w:val="7D1868D9"/>
    <w:rsid w:val="7DE95B7F"/>
    <w:rsid w:val="7E1536A4"/>
    <w:rsid w:val="7EA94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eastAsia="宋体"/>
      <w:b/>
      <w:bCs/>
      <w:kern w:val="44"/>
      <w:sz w:val="48"/>
      <w:szCs w:val="48"/>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eastAsia="宋体"/>
      <w:b/>
      <w:bCs/>
      <w:sz w:val="27"/>
      <w:szCs w:val="27"/>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3"/>
    <w:autoRedefine/>
    <w:semiHidden/>
    <w:unhideWhenUsed/>
    <w:qFormat/>
    <w:uiPriority w:val="99"/>
    <w:pPr>
      <w:spacing w:line="240" w:lineRule="auto"/>
    </w:pPr>
    <w:rPr>
      <w:sz w:val="18"/>
      <w:szCs w:val="18"/>
    </w:rPr>
  </w:style>
  <w:style w:type="paragraph" w:styleId="5">
    <w:name w:val="footer"/>
    <w:basedOn w:val="1"/>
    <w:link w:val="12"/>
    <w:autoRedefine/>
    <w:unhideWhenUsed/>
    <w:qFormat/>
    <w:uiPriority w:val="99"/>
    <w:pPr>
      <w:tabs>
        <w:tab w:val="center" w:pos="4153"/>
        <w:tab w:val="right" w:pos="8306"/>
      </w:tabs>
      <w:spacing w:line="240" w:lineRule="atLeast"/>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autoRedefine/>
    <w:semiHidden/>
    <w:unhideWhenUsed/>
    <w:qFormat/>
    <w:uiPriority w:val="99"/>
    <w:pPr>
      <w:spacing w:beforeAutospacing="1" w:afterAutospacing="1"/>
      <w:jc w:val="left"/>
    </w:pPr>
    <w:rPr>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autoRedefine/>
    <w:qFormat/>
    <w:uiPriority w:val="99"/>
    <w:rPr>
      <w:rFonts w:ascii="Times New Roman" w:hAnsi="Times New Roman" w:eastAsia="方正仿宋_GBK" w:cs="Times New Roman"/>
      <w:snapToGrid w:val="0"/>
      <w:kern w:val="0"/>
      <w:sz w:val="18"/>
      <w:szCs w:val="18"/>
    </w:rPr>
  </w:style>
  <w:style w:type="character" w:customStyle="1" w:styleId="12">
    <w:name w:val="页脚 Char"/>
    <w:basedOn w:val="10"/>
    <w:link w:val="5"/>
    <w:autoRedefine/>
    <w:qFormat/>
    <w:uiPriority w:val="99"/>
    <w:rPr>
      <w:rFonts w:ascii="Times New Roman" w:hAnsi="Times New Roman" w:eastAsia="方正仿宋_GBK" w:cs="Times New Roman"/>
      <w:snapToGrid w:val="0"/>
      <w:kern w:val="0"/>
      <w:sz w:val="18"/>
      <w:szCs w:val="18"/>
    </w:rPr>
  </w:style>
  <w:style w:type="character" w:customStyle="1" w:styleId="13">
    <w:name w:val="批注框文本 Char"/>
    <w:basedOn w:val="10"/>
    <w:link w:val="4"/>
    <w:autoRedefine/>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3679</Words>
  <Characters>3871</Characters>
  <Lines>30</Lines>
  <Paragraphs>8</Paragraphs>
  <TotalTime>172</TotalTime>
  <ScaleCrop>false</ScaleCrop>
  <LinksUpToDate>false</LinksUpToDate>
  <CharactersWithSpaces>3873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2022-01-02T01:04:00Z</dcterms:created>
  <dc:creator>lb</dc:creator>
  <cp:lastModifiedBy>Administrator</cp:lastModifiedBy>
  <cp:lastPrinted>2024-01-09T08:22:00Z</cp:lastPrinted>
  <dcterms:modified xsi:type="dcterms:W3CDTF">2024-01-25T03:23:39Z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FDE19442E1C648E994D945BE4877A5FF_13</vt:lpwstr>
  </property>
</Properties>
</file>