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EFE3A">
      <w:pPr>
        <w:keepNext w:val="0"/>
        <w:keepLines w:val="0"/>
        <w:pageBreakBefore w:val="0"/>
        <w:widowControl w:val="0"/>
        <w:kinsoku/>
        <w:wordWrap/>
        <w:overflowPunct/>
        <w:topLinePunct w:val="0"/>
        <w:autoSpaceDE w:val="0"/>
        <w:autoSpaceDN w:val="0"/>
        <w:bidi w:val="0"/>
        <w:adjustRightInd/>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高青县综合行政执法局2025年</w:t>
      </w:r>
    </w:p>
    <w:p w14:paraId="3B69BB7F">
      <w:pPr>
        <w:keepNext w:val="0"/>
        <w:keepLines w:val="0"/>
        <w:pageBreakBefore w:val="0"/>
        <w:widowControl w:val="0"/>
        <w:kinsoku/>
        <w:wordWrap/>
        <w:overflowPunct/>
        <w:topLinePunct w:val="0"/>
        <w:autoSpaceDE w:val="0"/>
        <w:autoSpaceDN w:val="0"/>
        <w:bidi w:val="0"/>
        <w:adjustRightInd/>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政府信息公开工作年度报告</w:t>
      </w:r>
    </w:p>
    <w:p w14:paraId="6FBDD907">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rPr>
      </w:pPr>
    </w:p>
    <w:p w14:paraId="5DBA3227">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本报告根据《中华人民共和国政府信息公开条例》（国务院令第711号，以下简称《条例》）</w:t>
      </w:r>
      <w:r>
        <w:rPr>
          <w:rFonts w:hint="default" w:ascii="Times New Roman" w:hAnsi="Times New Roman" w:eastAsia="仿宋_GB2312" w:cs="Times New Roman"/>
          <w:szCs w:val="32"/>
        </w:rPr>
        <w:t>和《国务院办公厅政府信息与政务公开办公室关于印发&lt;中华人民共和国政府信息公开工作年度报告格式&gt;的通知》（国办公开办函〔2021〕30号）相关要求编制</w:t>
      </w:r>
      <w:r>
        <w:rPr>
          <w:rFonts w:hint="default" w:ascii="Times New Roman" w:hAnsi="Times New Roman" w:eastAsia="仿宋_GB2312" w:cs="Times New Roman"/>
        </w:rPr>
        <w:t>。报告全文分总体情况、主动公开政府信息情况、收到和处理政府信息公开申请情况、政府信息公开行政复议和行政诉讼情况、存在的主要问题及改进情况、其他需要报告的事项六个部分。</w:t>
      </w:r>
    </w:p>
    <w:p w14:paraId="5259FB31">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报告中所列数据统计期限自202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年1月1日始，至202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年12月31日止。报告电子版可在高青县人民政府门户网站（www.gaoqing.gov.cn）查阅和下载。如对报告内容有疑问，请与高青县综合行政执法局办公室联系（地址：山东省淄博市高青县高苑路</w:t>
      </w:r>
      <w:r>
        <w:rPr>
          <w:rFonts w:hint="default" w:ascii="Times New Roman" w:hAnsi="Times New Roman" w:eastAsia="仿宋_GB2312" w:cs="Times New Roman"/>
          <w:lang w:val="en-US" w:eastAsia="zh-CN"/>
        </w:rPr>
        <w:t>12</w:t>
      </w:r>
      <w:r>
        <w:rPr>
          <w:rFonts w:hint="default" w:ascii="Times New Roman" w:hAnsi="Times New Roman" w:eastAsia="仿宋_GB2312" w:cs="Times New Roman"/>
        </w:rPr>
        <w:t>号；邮编：256300；电话：0533-6983603；传真：0533-6983603；邮箱：gqxzfj@zb.shandong.cn）。</w:t>
      </w:r>
    </w:p>
    <w:p w14:paraId="51C988CB">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黑体" w:cs="Times New Roman"/>
          <w:szCs w:val="32"/>
          <w:lang w:eastAsia="zh-CN"/>
        </w:rPr>
      </w:pPr>
      <w:r>
        <w:rPr>
          <w:rFonts w:hint="default" w:ascii="Times New Roman" w:hAnsi="Times New Roman" w:eastAsia="黑体" w:cs="Times New Roman"/>
          <w:szCs w:val="32"/>
        </w:rPr>
        <w:t>一、总体情况</w:t>
      </w:r>
    </w:p>
    <w:p w14:paraId="4D6368F2">
      <w:pPr>
        <w:keepNext w:val="0"/>
        <w:keepLines w:val="0"/>
        <w:pageBreakBefore w:val="0"/>
        <w:widowControl w:val="0"/>
        <w:suppressLineNumbers w:val="0"/>
        <w:kinsoku/>
        <w:wordWrap/>
        <w:overflowPunct/>
        <w:topLinePunct w:val="0"/>
        <w:bidi w:val="0"/>
        <w:adjustRightInd/>
        <w:jc w:val="left"/>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202</w:t>
      </w:r>
      <w:r>
        <w:rPr>
          <w:rFonts w:hint="default" w:ascii="Times New Roman" w:hAnsi="Times New Roman" w:eastAsia="仿宋_GB2312" w:cs="Times New Roman"/>
          <w:szCs w:val="32"/>
          <w:lang w:val="en-US" w:eastAsia="zh-CN"/>
        </w:rPr>
        <w:t>5</w:t>
      </w:r>
      <w:r>
        <w:rPr>
          <w:rFonts w:hint="default" w:ascii="Times New Roman" w:hAnsi="Times New Roman" w:eastAsia="仿宋_GB2312" w:cs="Times New Roman"/>
          <w:szCs w:val="32"/>
        </w:rPr>
        <w:t>年，高青县</w:t>
      </w:r>
      <w:r>
        <w:rPr>
          <w:rFonts w:hint="default" w:ascii="Times New Roman" w:hAnsi="Times New Roman" w:eastAsia="仿宋_GB2312" w:cs="Times New Roman"/>
        </w:rPr>
        <w:t>综合行政执法</w:t>
      </w:r>
      <w:r>
        <w:rPr>
          <w:rFonts w:hint="default" w:ascii="Times New Roman" w:hAnsi="Times New Roman" w:eastAsia="仿宋_GB2312" w:cs="Times New Roman"/>
          <w:szCs w:val="32"/>
        </w:rPr>
        <w:t>局坚持以习近平新时代中国特色社会主义思想为指导，深入落实国家和省</w:t>
      </w:r>
      <w:r>
        <w:rPr>
          <w:rFonts w:hint="eastAsia" w:eastAsia="仿宋_GB2312" w:cs="Times New Roman"/>
          <w:szCs w:val="32"/>
          <w:lang w:eastAsia="zh-CN"/>
        </w:rPr>
        <w:t>、</w:t>
      </w:r>
      <w:r>
        <w:rPr>
          <w:rFonts w:hint="default" w:ascii="Times New Roman" w:hAnsi="Times New Roman" w:eastAsia="仿宋_GB2312" w:cs="Times New Roman"/>
          <w:szCs w:val="32"/>
        </w:rPr>
        <w:t>市</w:t>
      </w:r>
      <w:r>
        <w:rPr>
          <w:rFonts w:hint="eastAsia" w:eastAsia="仿宋_GB2312" w:cs="Times New Roman"/>
          <w:szCs w:val="32"/>
          <w:lang w:eastAsia="zh-CN"/>
        </w:rPr>
        <w:t>、</w:t>
      </w:r>
      <w:r>
        <w:rPr>
          <w:rFonts w:hint="default" w:ascii="Times New Roman" w:hAnsi="Times New Roman" w:eastAsia="仿宋_GB2312" w:cs="Times New Roman"/>
          <w:szCs w:val="32"/>
        </w:rPr>
        <w:t>县政务公开工作部署，锚定“阳光执法、为民服务”核心目标，</w:t>
      </w:r>
      <w:r>
        <w:rPr>
          <w:rFonts w:hint="default" w:ascii="Times New Roman" w:hAnsi="Times New Roman" w:eastAsia="仿宋_GB2312" w:cs="Times New Roman"/>
          <w:szCs w:val="32"/>
          <w:lang w:val="en-US" w:eastAsia="zh-CN"/>
        </w:rPr>
        <w:t>推动“公开+治理”深度融合，将公开贯穿执法全流程，通过深化重点领域公开、优化载体、强化队伍建设，实现公开质量与治理效能双提升，。</w:t>
      </w:r>
    </w:p>
    <w:p w14:paraId="3F2D7827">
      <w:pPr>
        <w:keepNext w:val="0"/>
        <w:keepLines w:val="0"/>
        <w:pageBreakBefore w:val="0"/>
        <w:widowControl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（一）主动公开</w:t>
      </w:r>
    </w:p>
    <w:p w14:paraId="10435968">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健全制度体系，</w:t>
      </w:r>
      <w:r>
        <w:rPr>
          <w:rFonts w:eastAsia="仿宋_GB2312"/>
          <w:szCs w:val="32"/>
        </w:rPr>
        <w:t>制订《高青县综合行政执法局2024年政务公开工作实施方案》，</w:t>
      </w:r>
      <w:r>
        <w:rPr>
          <w:rFonts w:hint="default" w:ascii="Times New Roman" w:hAnsi="Times New Roman" w:eastAsia="仿宋_GB2312" w:cs="Times New Roman"/>
          <w:szCs w:val="32"/>
          <w:lang w:val="en-US" w:eastAsia="zh-CN"/>
        </w:rPr>
        <w:t>梳理公开清单，规范执法权责清单、流程。坚持精准高效公开</w:t>
      </w:r>
      <w:r>
        <w:rPr>
          <w:rFonts w:hint="eastAsia" w:eastAsia="仿宋_GB2312" w:cs="Times New Roman"/>
          <w:szCs w:val="32"/>
          <w:lang w:val="en-US" w:eastAsia="zh-CN"/>
        </w:rPr>
        <w:t>，</w:t>
      </w:r>
      <w:r>
        <w:rPr>
          <w:rFonts w:hint="default" w:ascii="Times New Roman" w:hAnsi="Times New Roman" w:eastAsia="仿宋_GB2312" w:cs="Times New Roman"/>
          <w:szCs w:val="32"/>
          <w:lang w:val="en-US" w:eastAsia="zh-CN"/>
        </w:rPr>
        <w:t>以县政府门户网站为核心公开阵地，全年累计公开511条，较2024年增长4.5%</w:t>
      </w:r>
      <w:r>
        <w:rPr>
          <w:rFonts w:hint="eastAsia" w:eastAsia="仿宋_GB2312" w:cs="Times New Roman"/>
          <w:szCs w:val="32"/>
          <w:lang w:val="en-US" w:eastAsia="zh-CN"/>
        </w:rPr>
        <w:t>；通过</w:t>
      </w:r>
      <w:r>
        <w:rPr>
          <w:rFonts w:hint="default" w:ascii="Times New Roman" w:hAnsi="Times New Roman" w:eastAsia="仿宋_GB2312" w:cs="Times New Roman"/>
          <w:szCs w:val="32"/>
          <w:lang w:val="en-US" w:eastAsia="zh-CN"/>
        </w:rPr>
        <w:t>最高青“综合行政执法局”</w:t>
      </w:r>
      <w:r>
        <w:rPr>
          <w:rFonts w:hint="eastAsia" w:ascii="Times New Roman" w:hAnsi="Times New Roman" w:eastAsia="仿宋_GB2312" w:cs="Times New Roman"/>
          <w:szCs w:val="32"/>
          <w:lang w:val="en-US" w:eastAsia="zh-CN"/>
        </w:rPr>
        <w:t>官方</w:t>
      </w:r>
      <w:r>
        <w:rPr>
          <w:rFonts w:hint="default" w:ascii="Times New Roman" w:hAnsi="Times New Roman" w:eastAsia="仿宋_GB2312" w:cs="Times New Roman"/>
          <w:szCs w:val="32"/>
          <w:lang w:val="en-US" w:eastAsia="zh-CN"/>
        </w:rPr>
        <w:t>政务号，发布信息195条</w:t>
      </w:r>
      <w:r>
        <w:rPr>
          <w:rFonts w:hint="eastAsia" w:eastAsia="仿宋_GB2312" w:cs="Times New Roman"/>
          <w:szCs w:val="32"/>
          <w:lang w:val="en-US" w:eastAsia="zh-CN"/>
        </w:rPr>
        <w:t>，</w:t>
      </w:r>
      <w:r>
        <w:rPr>
          <w:rFonts w:hint="default" w:ascii="Times New Roman" w:hAnsi="Times New Roman" w:eastAsia="仿宋_GB2312" w:cs="Times New Roman"/>
          <w:szCs w:val="32"/>
          <w:lang w:val="en-US" w:eastAsia="zh-CN"/>
        </w:rPr>
        <w:t>其他渠道推送各类信息227条，形成多平台联动格局。落实政策解读“三同步”机制，将解读纳入文件起草全流程，实现解读全覆盖，确保群众读懂政策，提升政策落地实效。全年办理12345热线热线事项4782件、政府信箱留言8件，答复率100%，满意率97.5%，切实解决群众难题。聚焦行政执法与民生领域，公开执法依据、流程及结果。常态化开展“局长进社区”，设社区服务台，建立联动机制，走访收集并解决城市管理热点问题，深化红色物业建设相关信息公开。</w:t>
      </w:r>
    </w:p>
    <w:p w14:paraId="62630587">
      <w:pPr>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drawing>
          <wp:inline distT="0" distB="0" distL="114300" distR="114300">
            <wp:extent cx="4380865" cy="2745740"/>
            <wp:effectExtent l="0" t="0" r="635" b="1651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4380865" cy="2745740"/>
                    </a:xfrm>
                    <a:prstGeom prst="rect">
                      <a:avLst/>
                    </a:prstGeom>
                  </pic:spPr>
                </pic:pic>
              </a:graphicData>
            </a:graphic>
          </wp:inline>
        </w:drawing>
      </w:r>
    </w:p>
    <w:p w14:paraId="4142C189">
      <w:pPr>
        <w:keepNext w:val="0"/>
        <w:keepLines w:val="0"/>
        <w:pageBreakBefore w:val="0"/>
        <w:widowControl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p>
    <w:p w14:paraId="2ACA1081">
      <w:pPr>
        <w:keepNext w:val="0"/>
        <w:keepLines w:val="0"/>
        <w:pageBreakBefore w:val="0"/>
        <w:widowControl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（二）依申请公开</w:t>
      </w:r>
    </w:p>
    <w:p w14:paraId="14A635E9">
      <w:pPr>
        <w:keepNext w:val="0"/>
        <w:keepLines w:val="0"/>
        <w:pageBreakBefore w:val="0"/>
        <w:widowControl w:val="0"/>
        <w:kinsoku/>
        <w:wordWrap/>
        <w:overflowPunct/>
        <w:topLinePunct w:val="0"/>
        <w:bidi w:val="0"/>
        <w:adjustRightIn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推行“首接负责+容缺受理+会商研判”机制，确保流程规范、答复准确。</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年共收到政府信息公开申请</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件，比上年度增加</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件，申请内容主要涉及</w:t>
      </w:r>
      <w:r>
        <w:rPr>
          <w:rFonts w:hint="default" w:ascii="Times New Roman" w:hAnsi="Times New Roman" w:eastAsia="仿宋_GB2312" w:cs="Times New Roman"/>
          <w:sz w:val="32"/>
          <w:szCs w:val="32"/>
          <w:lang w:val="en-US" w:eastAsia="zh-CN"/>
        </w:rPr>
        <w:t>物业管理</w:t>
      </w:r>
      <w:r>
        <w:rPr>
          <w:rFonts w:hint="default" w:ascii="Times New Roman" w:hAnsi="Times New Roman" w:eastAsia="仿宋_GB2312" w:cs="Times New Roman"/>
          <w:sz w:val="32"/>
          <w:szCs w:val="32"/>
        </w:rPr>
        <w:t>领域。作出政府信息公开申请答复</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件，其中予以公开</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件。依申请公开政府信息未收取任何费用。未因政府信息公开被申请行政复议、提起行政诉讼。</w:t>
      </w:r>
    </w:p>
    <w:p w14:paraId="0C695295">
      <w:pPr>
        <w:keepNext w:val="0"/>
        <w:keepLines w:val="0"/>
        <w:pageBreakBefore w:val="0"/>
        <w:widowControl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（三）政府信息管理</w:t>
      </w:r>
    </w:p>
    <w:p w14:paraId="58B988EA">
      <w:pPr>
        <w:keepNext w:val="0"/>
        <w:keepLines w:val="0"/>
        <w:pageBreakBefore w:val="0"/>
        <w:widowControl w:val="0"/>
        <w:kinsoku/>
        <w:wordWrap/>
        <w:overflowPunct/>
        <w:topLinePunct w:val="0"/>
        <w:bidi w:val="0"/>
        <w:adjustRightIn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深化信息全生命周期管理，</w:t>
      </w:r>
      <w:r>
        <w:rPr>
          <w:rFonts w:hint="eastAsia" w:eastAsia="仿宋_GB2312" w:cs="Times New Roman"/>
          <w:sz w:val="32"/>
          <w:szCs w:val="32"/>
          <w:lang w:val="en-US" w:eastAsia="zh-CN"/>
        </w:rPr>
        <w:t>严格把控</w:t>
      </w:r>
      <w:r>
        <w:rPr>
          <w:rFonts w:hint="default" w:eastAsia="仿宋_GB2312" w:cs="Times New Roman"/>
          <w:sz w:val="32"/>
          <w:szCs w:val="32"/>
          <w:lang w:val="en-US" w:eastAsia="zh-CN"/>
        </w:rPr>
        <w:t>公开质量与安全</w:t>
      </w:r>
      <w:r>
        <w:rPr>
          <w:rFonts w:hint="default" w:ascii="Times New Roman" w:hAnsi="Times New Roman" w:eastAsia="仿宋_GB2312" w:cs="Times New Roman"/>
          <w:sz w:val="32"/>
          <w:szCs w:val="32"/>
          <w:lang w:val="en-US" w:eastAsia="zh-CN"/>
        </w:rPr>
        <w:t>，公文起草时即明确公开属性。制定保密审查制度，实行“一事一审”，全年审查拟公开信息511条，无失泄密事件</w:t>
      </w:r>
      <w:r>
        <w:rPr>
          <w:rFonts w:hint="eastAsia" w:eastAsia="仿宋_GB2312" w:cs="Times New Roman"/>
          <w:sz w:val="32"/>
          <w:szCs w:val="32"/>
          <w:lang w:val="en-US" w:eastAsia="zh-CN"/>
        </w:rPr>
        <w:t>，</w:t>
      </w:r>
      <w:bookmarkStart w:id="0" w:name="_GoBack"/>
      <w:bookmarkEnd w:id="0"/>
      <w:r>
        <w:rPr>
          <w:rFonts w:hint="default" w:ascii="Times New Roman" w:hAnsi="Times New Roman" w:eastAsia="仿宋_GB2312" w:cs="Times New Roman"/>
          <w:sz w:val="32"/>
          <w:szCs w:val="32"/>
          <w:lang w:val="en-US" w:eastAsia="zh-CN"/>
        </w:rPr>
        <w:t>开展4次保密自查，排查网站、新媒体等平台隐患，实现政务公开与安全保密协同推进。</w:t>
      </w:r>
    </w:p>
    <w:p w14:paraId="2D3A2BA4">
      <w:pPr>
        <w:keepNext w:val="0"/>
        <w:keepLines w:val="0"/>
        <w:pageBreakBefore w:val="0"/>
        <w:widowControl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（四）政府信息公开平台建设</w:t>
      </w:r>
    </w:p>
    <w:p w14:paraId="0FEE74F7">
      <w:pPr>
        <w:keepNext w:val="0"/>
        <w:keepLines w:val="0"/>
        <w:pageBreakBefore w:val="0"/>
        <w:widowControl w:val="0"/>
        <w:kinsoku/>
        <w:wordWrap/>
        <w:overflowPunct/>
        <w:topLinePunct w:val="0"/>
        <w:bidi w:val="0"/>
        <w:adjustRightIn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网站平台功能优化，提升查询便捷性。在往年栏目整合基础上，优化网站栏目架构，新开设“政府开放日”1个特色专栏，明确各栏目更新频次和责任科室。安排专人负责信息发布和问题整改。聚焦1个核心</w:t>
      </w:r>
      <w:r>
        <w:rPr>
          <w:rFonts w:hint="eastAsia" w:eastAsia="仿宋_GB2312" w:cs="Times New Roman"/>
          <w:sz w:val="32"/>
          <w:szCs w:val="32"/>
          <w:lang w:val="en-US" w:eastAsia="zh-CN"/>
        </w:rPr>
        <w:t>新媒体</w:t>
      </w:r>
      <w:r>
        <w:rPr>
          <w:rFonts w:hint="default" w:ascii="Times New Roman" w:hAnsi="Times New Roman" w:eastAsia="仿宋_GB2312" w:cs="Times New Roman"/>
          <w:sz w:val="32"/>
          <w:szCs w:val="32"/>
          <w:lang w:val="en-US" w:eastAsia="zh-CN"/>
        </w:rPr>
        <w:t>账号运营，建立“三审三校”制度，保障发布信息合规准确。</w:t>
      </w:r>
    </w:p>
    <w:p w14:paraId="25DA4E23">
      <w:pPr>
        <w:keepNext w:val="0"/>
        <w:keepLines w:val="0"/>
        <w:pageBreakBefore w:val="0"/>
        <w:widowControl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（五）监督保障</w:t>
      </w:r>
    </w:p>
    <w:p w14:paraId="23AD6508">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强化组织领导与监督闭环，明确层级责任体系，开展4次专项检查并印发通报，实行问题销号管理。优化队伍配置，</w:t>
      </w:r>
      <w:r>
        <w:rPr>
          <w:rFonts w:hint="eastAsia" w:eastAsia="仿宋_GB2312" w:cs="Times New Roman"/>
          <w:sz w:val="32"/>
          <w:szCs w:val="32"/>
          <w:lang w:val="en-US" w:eastAsia="zh-CN"/>
        </w:rPr>
        <w:t>由</w:t>
      </w:r>
      <w:r>
        <w:rPr>
          <w:rFonts w:hint="default" w:ascii="Times New Roman" w:hAnsi="Times New Roman" w:eastAsia="仿宋_GB2312" w:cs="Times New Roman"/>
          <w:sz w:val="32"/>
          <w:szCs w:val="32"/>
          <w:lang w:val="en-US" w:eastAsia="zh-CN"/>
        </w:rPr>
        <w:t>办公室为牵头部门，配备专职人员1名，各科室</w:t>
      </w:r>
      <w:r>
        <w:rPr>
          <w:rFonts w:hint="eastAsia" w:eastAsia="仿宋_GB2312" w:cs="Times New Roman"/>
          <w:sz w:val="32"/>
          <w:szCs w:val="32"/>
          <w:lang w:val="en-US" w:eastAsia="zh-CN"/>
        </w:rPr>
        <w:t>设</w:t>
      </w:r>
      <w:r>
        <w:rPr>
          <w:rFonts w:hint="default" w:ascii="Times New Roman" w:hAnsi="Times New Roman" w:eastAsia="仿宋_GB2312" w:cs="Times New Roman"/>
          <w:sz w:val="32"/>
          <w:szCs w:val="32"/>
          <w:lang w:val="en-US" w:eastAsia="zh-CN"/>
        </w:rPr>
        <w:t>兼职联络员；及时更新3名兼职人员并开展岗前培训，确保工作衔接顺畅。精准开展能力培训，结合岗位需求设置差异化内容，累计参训128人次。</w:t>
      </w:r>
    </w:p>
    <w:p w14:paraId="6DE01972">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6C16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21A2FFB">
            <w:pPr>
              <w:keepNext w:val="0"/>
              <w:keepLines w:val="0"/>
              <w:pageBreakBefore w:val="0"/>
              <w:widowControl w:val="0"/>
              <w:kinsoku/>
              <w:wordWrap/>
              <w:overflowPunct/>
              <w:topLinePunct w:val="0"/>
              <w:bidi w:val="0"/>
              <w:adjustRightInd/>
              <w:spacing w:line="560" w:lineRule="exact"/>
              <w:ind w:firstLine="0"/>
              <w:jc w:val="center"/>
              <w:textAlignment w:val="auto"/>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第二十条第（一）项</w:t>
            </w:r>
          </w:p>
        </w:tc>
      </w:tr>
      <w:tr w14:paraId="40B4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A04DB09">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2130" w:type="dxa"/>
            <w:vAlign w:val="center"/>
          </w:tcPr>
          <w:p w14:paraId="1A046814">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本年</w:t>
            </w:r>
            <w:r>
              <w:rPr>
                <w:rFonts w:hint="default" w:ascii="Times New Roman" w:hAnsi="Times New Roman" w:eastAsia="宋体" w:cs="Times New Roman"/>
                <w:snapToGrid/>
                <w:sz w:val="20"/>
              </w:rPr>
              <w:t>制发件数</w:t>
            </w:r>
          </w:p>
        </w:tc>
        <w:tc>
          <w:tcPr>
            <w:tcW w:w="2131" w:type="dxa"/>
            <w:vAlign w:val="center"/>
          </w:tcPr>
          <w:p w14:paraId="238CB7F4">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本年废止件数</w:t>
            </w:r>
          </w:p>
        </w:tc>
        <w:tc>
          <w:tcPr>
            <w:tcW w:w="2131" w:type="dxa"/>
            <w:vAlign w:val="center"/>
          </w:tcPr>
          <w:p w14:paraId="3974AB6C">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现行有效件</w:t>
            </w:r>
            <w:r>
              <w:rPr>
                <w:rFonts w:hint="default" w:ascii="Times New Roman" w:hAnsi="Times New Roman" w:eastAsia="宋体" w:cs="Times New Roman"/>
                <w:snapToGrid/>
                <w:sz w:val="20"/>
              </w:rPr>
              <w:t>数</w:t>
            </w:r>
          </w:p>
        </w:tc>
      </w:tr>
      <w:tr w14:paraId="4CA0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5B9402F">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规章</w:t>
            </w:r>
          </w:p>
        </w:tc>
        <w:tc>
          <w:tcPr>
            <w:tcW w:w="2130" w:type="dxa"/>
            <w:vAlign w:val="center"/>
          </w:tcPr>
          <w:p w14:paraId="13279E9B">
            <w:pPr>
              <w:keepNext w:val="0"/>
              <w:keepLines w:val="0"/>
              <w:pageBreakBefore w:val="0"/>
              <w:widowControl w:val="0"/>
              <w:kinsoku/>
              <w:wordWrap/>
              <w:overflowPunct/>
              <w:topLinePunct w:val="0"/>
              <w:bidi w:val="0"/>
              <w:adjustRightInd/>
              <w:spacing w:line="560" w:lineRule="exact"/>
              <w:ind w:firstLine="0"/>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6F7B7329">
            <w:pPr>
              <w:keepNext w:val="0"/>
              <w:keepLines w:val="0"/>
              <w:pageBreakBefore w:val="0"/>
              <w:widowControl w:val="0"/>
              <w:kinsoku/>
              <w:wordWrap/>
              <w:overflowPunct/>
              <w:topLinePunct w:val="0"/>
              <w:bidi w:val="0"/>
              <w:adjustRightInd/>
              <w:spacing w:line="560" w:lineRule="exact"/>
              <w:ind w:firstLine="0"/>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33841886">
            <w:pPr>
              <w:keepNext w:val="0"/>
              <w:keepLines w:val="0"/>
              <w:pageBreakBefore w:val="0"/>
              <w:widowControl w:val="0"/>
              <w:kinsoku/>
              <w:wordWrap/>
              <w:overflowPunct/>
              <w:topLinePunct w:val="0"/>
              <w:bidi w:val="0"/>
              <w:adjustRightInd/>
              <w:spacing w:line="560" w:lineRule="exact"/>
              <w:ind w:firstLine="0"/>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r>
      <w:tr w14:paraId="19FD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B3AADEE">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行政规范性文件</w:t>
            </w:r>
          </w:p>
        </w:tc>
        <w:tc>
          <w:tcPr>
            <w:tcW w:w="2130" w:type="dxa"/>
            <w:vAlign w:val="center"/>
          </w:tcPr>
          <w:p w14:paraId="6BA80943">
            <w:pPr>
              <w:keepNext w:val="0"/>
              <w:keepLines w:val="0"/>
              <w:pageBreakBefore w:val="0"/>
              <w:widowControl w:val="0"/>
              <w:kinsoku/>
              <w:wordWrap/>
              <w:overflowPunct/>
              <w:topLinePunct w:val="0"/>
              <w:bidi w:val="0"/>
              <w:adjustRightInd/>
              <w:spacing w:line="560" w:lineRule="exact"/>
              <w:ind w:firstLine="0"/>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558D3044">
            <w:pPr>
              <w:keepNext w:val="0"/>
              <w:keepLines w:val="0"/>
              <w:pageBreakBefore w:val="0"/>
              <w:widowControl w:val="0"/>
              <w:kinsoku/>
              <w:wordWrap/>
              <w:overflowPunct/>
              <w:topLinePunct w:val="0"/>
              <w:bidi w:val="0"/>
              <w:adjustRightInd/>
              <w:spacing w:line="560" w:lineRule="exact"/>
              <w:ind w:firstLine="0"/>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2AA36B2E">
            <w:pPr>
              <w:keepNext w:val="0"/>
              <w:keepLines w:val="0"/>
              <w:pageBreakBefore w:val="0"/>
              <w:widowControl w:val="0"/>
              <w:kinsoku/>
              <w:wordWrap/>
              <w:overflowPunct/>
              <w:topLinePunct w:val="0"/>
              <w:bidi w:val="0"/>
              <w:adjustRightInd/>
              <w:spacing w:line="560" w:lineRule="exact"/>
              <w:ind w:firstLine="0"/>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r>
      <w:tr w14:paraId="18E1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FA6DFA1">
            <w:pPr>
              <w:keepNext w:val="0"/>
              <w:keepLines w:val="0"/>
              <w:pageBreakBefore w:val="0"/>
              <w:widowControl w:val="0"/>
              <w:kinsoku/>
              <w:wordWrap/>
              <w:overflowPunct/>
              <w:topLinePunct w:val="0"/>
              <w:bidi w:val="0"/>
              <w:adjustRightInd/>
              <w:spacing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第二十条第（五）项</w:t>
            </w:r>
          </w:p>
        </w:tc>
      </w:tr>
      <w:tr w14:paraId="3F7F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88E61C8">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3E210816">
            <w:pPr>
              <w:keepNext w:val="0"/>
              <w:keepLines w:val="0"/>
              <w:pageBreakBefore w:val="0"/>
              <w:widowControl w:val="0"/>
              <w:kinsoku/>
              <w:wordWrap/>
              <w:overflowPunct/>
              <w:topLinePunct w:val="0"/>
              <w:bidi w:val="0"/>
              <w:adjustRightInd/>
              <w:spacing w:line="560" w:lineRule="exact"/>
              <w:ind w:firstLine="0"/>
              <w:jc w:val="center"/>
              <w:textAlignment w:val="auto"/>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本年处理决定数量</w:t>
            </w:r>
          </w:p>
        </w:tc>
      </w:tr>
      <w:tr w14:paraId="73D7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FCBC868">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行政许可</w:t>
            </w:r>
          </w:p>
        </w:tc>
        <w:tc>
          <w:tcPr>
            <w:tcW w:w="6392" w:type="dxa"/>
            <w:gridSpan w:val="3"/>
            <w:vAlign w:val="center"/>
          </w:tcPr>
          <w:p w14:paraId="5A146B91">
            <w:pPr>
              <w:keepNext w:val="0"/>
              <w:keepLines w:val="0"/>
              <w:pageBreakBefore w:val="0"/>
              <w:widowControl w:val="0"/>
              <w:kinsoku/>
              <w:wordWrap/>
              <w:overflowPunct/>
              <w:topLinePunct w:val="0"/>
              <w:bidi w:val="0"/>
              <w:adjustRightInd/>
              <w:spacing w:line="560" w:lineRule="exact"/>
              <w:ind w:firstLine="0"/>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r>
      <w:tr w14:paraId="664C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560E57E">
            <w:pPr>
              <w:keepNext w:val="0"/>
              <w:keepLines w:val="0"/>
              <w:pageBreakBefore w:val="0"/>
              <w:widowControl w:val="0"/>
              <w:kinsoku/>
              <w:wordWrap/>
              <w:overflowPunct/>
              <w:topLinePunct w:val="0"/>
              <w:bidi w:val="0"/>
              <w:adjustRightInd/>
              <w:spacing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第二十条第（六）项</w:t>
            </w:r>
          </w:p>
        </w:tc>
      </w:tr>
      <w:tr w14:paraId="4B24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C2F96DB">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05BF8E3C">
            <w:pPr>
              <w:keepNext w:val="0"/>
              <w:keepLines w:val="0"/>
              <w:pageBreakBefore w:val="0"/>
              <w:widowControl w:val="0"/>
              <w:kinsoku/>
              <w:wordWrap/>
              <w:overflowPunct/>
              <w:topLinePunct w:val="0"/>
              <w:bidi w:val="0"/>
              <w:adjustRightInd/>
              <w:spacing w:line="560" w:lineRule="exact"/>
              <w:ind w:firstLine="0"/>
              <w:jc w:val="center"/>
              <w:textAlignment w:val="auto"/>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本年处理决定数量</w:t>
            </w:r>
          </w:p>
        </w:tc>
      </w:tr>
      <w:tr w14:paraId="7DCF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05F82A4">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行政处罚</w:t>
            </w:r>
          </w:p>
        </w:tc>
        <w:tc>
          <w:tcPr>
            <w:tcW w:w="6392" w:type="dxa"/>
            <w:gridSpan w:val="3"/>
            <w:vAlign w:val="center"/>
          </w:tcPr>
          <w:p w14:paraId="102C8EBF">
            <w:pPr>
              <w:keepNext w:val="0"/>
              <w:keepLines w:val="0"/>
              <w:pageBreakBefore w:val="0"/>
              <w:widowControl w:val="0"/>
              <w:kinsoku/>
              <w:wordWrap/>
              <w:overflowPunct/>
              <w:topLinePunct w:val="0"/>
              <w:bidi w:val="0"/>
              <w:adjustRightInd/>
              <w:spacing w:line="560" w:lineRule="exact"/>
              <w:ind w:firstLine="0"/>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3</w:t>
            </w:r>
          </w:p>
        </w:tc>
      </w:tr>
      <w:tr w14:paraId="637D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DF5FBD4">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行政强制</w:t>
            </w:r>
          </w:p>
        </w:tc>
        <w:tc>
          <w:tcPr>
            <w:tcW w:w="6392" w:type="dxa"/>
            <w:gridSpan w:val="3"/>
            <w:vAlign w:val="center"/>
          </w:tcPr>
          <w:p w14:paraId="415412C5">
            <w:pPr>
              <w:keepNext w:val="0"/>
              <w:keepLines w:val="0"/>
              <w:pageBreakBefore w:val="0"/>
              <w:widowControl w:val="0"/>
              <w:kinsoku/>
              <w:wordWrap/>
              <w:overflowPunct/>
              <w:topLinePunct w:val="0"/>
              <w:bidi w:val="0"/>
              <w:adjustRightInd/>
              <w:spacing w:line="560" w:lineRule="exact"/>
              <w:ind w:firstLine="0"/>
              <w:textAlignment w:val="auto"/>
              <w:rPr>
                <w:rFonts w:hint="default" w:ascii="Times New Roman" w:hAnsi="Times New Roman" w:eastAsia="黑体" w:cs="Times New Roman"/>
                <w:sz w:val="20"/>
                <w:lang w:val="en-US" w:eastAsia="zh-CN"/>
              </w:rPr>
            </w:pPr>
            <w:r>
              <w:rPr>
                <w:rFonts w:hint="eastAsia" w:eastAsia="黑体" w:cs="Times New Roman"/>
                <w:sz w:val="20"/>
                <w:lang w:val="en-US" w:eastAsia="zh-CN"/>
              </w:rPr>
              <w:t>0</w:t>
            </w:r>
          </w:p>
        </w:tc>
      </w:tr>
      <w:tr w14:paraId="2726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C52C80F">
            <w:pPr>
              <w:keepNext w:val="0"/>
              <w:keepLines w:val="0"/>
              <w:pageBreakBefore w:val="0"/>
              <w:widowControl w:val="0"/>
              <w:kinsoku/>
              <w:wordWrap/>
              <w:overflowPunct/>
              <w:topLinePunct w:val="0"/>
              <w:bidi w:val="0"/>
              <w:adjustRightInd/>
              <w:spacing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第二十条第（八）项</w:t>
            </w:r>
          </w:p>
        </w:tc>
      </w:tr>
      <w:tr w14:paraId="187F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7DCB354">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7A86CBF4">
            <w:pPr>
              <w:keepNext w:val="0"/>
              <w:keepLines w:val="0"/>
              <w:pageBreakBefore w:val="0"/>
              <w:widowControl w:val="0"/>
              <w:kinsoku/>
              <w:wordWrap/>
              <w:overflowPunct/>
              <w:topLinePunct w:val="0"/>
              <w:bidi w:val="0"/>
              <w:adjustRightInd/>
              <w:spacing w:line="560" w:lineRule="exact"/>
              <w:ind w:firstLine="0"/>
              <w:jc w:val="center"/>
              <w:textAlignment w:val="auto"/>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本年收费金额（单位：万元）</w:t>
            </w:r>
          </w:p>
        </w:tc>
      </w:tr>
      <w:tr w14:paraId="55D9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F49292C">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行政事业性收费</w:t>
            </w:r>
          </w:p>
        </w:tc>
        <w:tc>
          <w:tcPr>
            <w:tcW w:w="6392" w:type="dxa"/>
            <w:gridSpan w:val="3"/>
            <w:vAlign w:val="center"/>
          </w:tcPr>
          <w:p w14:paraId="002E0E86">
            <w:pPr>
              <w:keepNext w:val="0"/>
              <w:keepLines w:val="0"/>
              <w:pageBreakBefore w:val="0"/>
              <w:widowControl w:val="0"/>
              <w:kinsoku/>
              <w:wordWrap/>
              <w:overflowPunct/>
              <w:topLinePunct w:val="0"/>
              <w:bidi w:val="0"/>
              <w:adjustRightInd/>
              <w:spacing w:line="560" w:lineRule="exact"/>
              <w:ind w:firstLine="0"/>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r>
    </w:tbl>
    <w:p w14:paraId="69E13EBD">
      <w:pPr>
        <w:keepNext w:val="0"/>
        <w:keepLines w:val="0"/>
        <w:pageBreakBefore w:val="0"/>
        <w:widowControl w:val="0"/>
        <w:kinsoku/>
        <w:wordWrap/>
        <w:overflowPunct/>
        <w:topLinePunct w:val="0"/>
        <w:bidi w:val="0"/>
        <w:adjustRightInd/>
        <w:spacing w:line="560" w:lineRule="exact"/>
        <w:ind w:firstLine="0"/>
        <w:textAlignment w:val="auto"/>
        <w:rPr>
          <w:rFonts w:hint="default" w:ascii="Times New Roman" w:hAnsi="Times New Roman" w:eastAsia="黑体" w:cs="Times New Roman"/>
          <w:sz w:val="30"/>
          <w:szCs w:val="30"/>
        </w:rPr>
      </w:pPr>
    </w:p>
    <w:p w14:paraId="289E69A3">
      <w:pPr>
        <w:keepNext w:val="0"/>
        <w:keepLines w:val="0"/>
        <w:pageBreakBefore w:val="0"/>
        <w:widowControl w:val="0"/>
        <w:kinsoku/>
        <w:wordWrap/>
        <w:overflowPunct/>
        <w:topLinePunct w:val="0"/>
        <w:bidi w:val="0"/>
        <w:adjustRightInd/>
        <w:spacing w:line="560" w:lineRule="exact"/>
        <w:ind w:firstLine="0"/>
        <w:textAlignment w:val="auto"/>
        <w:rPr>
          <w:rFonts w:hint="default" w:ascii="Times New Roman" w:hAnsi="Times New Roman" w:eastAsia="黑体" w:cs="Times New Roman"/>
          <w:sz w:val="30"/>
          <w:szCs w:val="30"/>
        </w:rPr>
      </w:pPr>
    </w:p>
    <w:p w14:paraId="5519DABC">
      <w:pPr>
        <w:keepNext w:val="0"/>
        <w:keepLines w:val="0"/>
        <w:pageBreakBefore w:val="0"/>
        <w:widowControl w:val="0"/>
        <w:kinsoku/>
        <w:wordWrap/>
        <w:overflowPunct/>
        <w:topLinePunct w:val="0"/>
        <w:bidi w:val="0"/>
        <w:adjustRightInd/>
        <w:spacing w:line="560" w:lineRule="exact"/>
        <w:ind w:firstLine="0"/>
        <w:textAlignment w:val="auto"/>
        <w:rPr>
          <w:rFonts w:hint="default" w:ascii="Times New Roman" w:hAnsi="Times New Roman" w:eastAsia="黑体" w:cs="Times New Roman"/>
          <w:sz w:val="30"/>
          <w:szCs w:val="30"/>
        </w:rPr>
      </w:pPr>
    </w:p>
    <w:p w14:paraId="635D7F22">
      <w:pPr>
        <w:keepNext w:val="0"/>
        <w:keepLines w:val="0"/>
        <w:pageBreakBefore w:val="0"/>
        <w:widowControl w:val="0"/>
        <w:kinsoku/>
        <w:wordWrap/>
        <w:overflowPunct/>
        <w:topLinePunct w:val="0"/>
        <w:bidi w:val="0"/>
        <w:adjustRightInd/>
        <w:spacing w:line="560" w:lineRule="exact"/>
        <w:ind w:firstLine="0"/>
        <w:textAlignment w:val="auto"/>
        <w:rPr>
          <w:rFonts w:hint="default" w:ascii="Times New Roman" w:hAnsi="Times New Roman" w:eastAsia="黑体" w:cs="Times New Roman"/>
          <w:sz w:val="30"/>
          <w:szCs w:val="30"/>
        </w:rPr>
      </w:pPr>
    </w:p>
    <w:p w14:paraId="1735CD40">
      <w:pPr>
        <w:keepNext w:val="0"/>
        <w:keepLines w:val="0"/>
        <w:pageBreakBefore w:val="0"/>
        <w:widowControl w:val="0"/>
        <w:kinsoku/>
        <w:wordWrap/>
        <w:overflowPunct/>
        <w:topLinePunct w:val="0"/>
        <w:bidi w:val="0"/>
        <w:adjustRightInd/>
        <w:spacing w:line="560" w:lineRule="exact"/>
        <w:ind w:firstLine="0"/>
        <w:textAlignment w:val="auto"/>
        <w:rPr>
          <w:rFonts w:hint="default" w:ascii="Times New Roman" w:hAnsi="Times New Roman" w:eastAsia="黑体" w:cs="Times New Roman"/>
          <w:sz w:val="30"/>
          <w:szCs w:val="30"/>
        </w:rPr>
      </w:pPr>
    </w:p>
    <w:p w14:paraId="17E83F47">
      <w:pPr>
        <w:keepNext w:val="0"/>
        <w:keepLines w:val="0"/>
        <w:pageBreakBefore w:val="0"/>
        <w:widowControl w:val="0"/>
        <w:kinsoku/>
        <w:wordWrap/>
        <w:overflowPunct/>
        <w:topLinePunct w:val="0"/>
        <w:bidi w:val="0"/>
        <w:adjustRightInd/>
        <w:spacing w:line="560" w:lineRule="exact"/>
        <w:ind w:firstLine="0"/>
        <w:textAlignment w:val="auto"/>
        <w:rPr>
          <w:rFonts w:hint="default" w:ascii="Times New Roman" w:hAnsi="Times New Roman" w:eastAsia="黑体" w:cs="Times New Roman"/>
          <w:sz w:val="30"/>
          <w:szCs w:val="30"/>
        </w:rPr>
      </w:pPr>
    </w:p>
    <w:p w14:paraId="046B7892">
      <w:pPr>
        <w:keepNext w:val="0"/>
        <w:keepLines w:val="0"/>
        <w:pageBreakBefore w:val="0"/>
        <w:widowControl w:val="0"/>
        <w:kinsoku/>
        <w:wordWrap/>
        <w:overflowPunct/>
        <w:topLinePunct w:val="0"/>
        <w:bidi w:val="0"/>
        <w:adjustRightInd/>
        <w:spacing w:line="560" w:lineRule="exact"/>
        <w:ind w:firstLine="0"/>
        <w:textAlignment w:val="auto"/>
        <w:rPr>
          <w:rFonts w:hint="default" w:ascii="Times New Roman" w:hAnsi="Times New Roman" w:eastAsia="黑体" w:cs="Times New Roman"/>
          <w:sz w:val="30"/>
          <w:szCs w:val="30"/>
        </w:rPr>
      </w:pPr>
    </w:p>
    <w:p w14:paraId="7CF5A9AF">
      <w:pPr>
        <w:spacing w:after="156" w:afterLines="50" w:line="240" w:lineRule="auto"/>
        <w:ind w:firstLine="640" w:firstLineChars="200"/>
        <w:rPr>
          <w:rFonts w:hint="default" w:ascii="Times New Roman" w:hAnsi="Times New Roman" w:eastAsia="黑体" w:cs="Times New Roman"/>
          <w:szCs w:val="32"/>
        </w:rPr>
      </w:pPr>
    </w:p>
    <w:p w14:paraId="45ED55F2">
      <w:pPr>
        <w:spacing w:after="156" w:afterLines="50" w:line="240" w:lineRule="auto"/>
        <w:ind w:firstLine="640" w:firstLineChars="200"/>
        <w:rPr>
          <w:rFonts w:hint="default" w:ascii="Times New Roman" w:hAnsi="Times New Roman" w:eastAsia="黑体" w:cs="Times New Roman"/>
          <w:szCs w:val="32"/>
        </w:rPr>
      </w:pPr>
    </w:p>
    <w:p w14:paraId="69EF8C63">
      <w:pPr>
        <w:spacing w:after="156" w:afterLines="50" w:line="240" w:lineRule="auto"/>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79827556">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0636F7B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楷体" w:cs="Times New Roman"/>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E5C5BE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申请人情况</w:t>
            </w:r>
          </w:p>
        </w:tc>
      </w:tr>
      <w:tr w14:paraId="21CA7782">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29327477">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4617DBA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BDF78B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14CCADB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总计</w:t>
            </w:r>
          </w:p>
        </w:tc>
      </w:tr>
      <w:tr w14:paraId="4B55D26A">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020D570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850" w:type="dxa"/>
            <w:vMerge w:val="continue"/>
            <w:tcBorders>
              <w:top w:val="nil"/>
              <w:left w:val="nil"/>
              <w:bottom w:val="single" w:color="auto" w:sz="8" w:space="0"/>
              <w:right w:val="single" w:color="auto" w:sz="8" w:space="0"/>
            </w:tcBorders>
            <w:vAlign w:val="center"/>
          </w:tcPr>
          <w:p w14:paraId="02E2D852">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008553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商业</w:t>
            </w:r>
          </w:p>
          <w:p w14:paraId="4E0C5D5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69C6D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科研</w:t>
            </w:r>
          </w:p>
          <w:p w14:paraId="77EA0E85">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B9FA928">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1A7BC4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6758A4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1171288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r>
      <w:tr w14:paraId="15FFE9B3">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DDF7217">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9929C6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7</w:t>
            </w:r>
            <w:r>
              <w:rPr>
                <w:rFonts w:hint="default" w:ascii="Times New Roman" w:hAnsi="Times New Roman" w:eastAsia="宋体" w:cs="Times New Roman"/>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F856B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F876BA">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C2EEBD9">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78DC9C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D3B6584">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2B184C0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7</w:t>
            </w:r>
          </w:p>
        </w:tc>
      </w:tr>
      <w:tr w14:paraId="39EEAA0A">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6E4398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9DE49B5">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E94009">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C45C3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eastAsia" w:eastAsia="宋体" w:cs="Times New Roman"/>
                <w:snapToGrid/>
                <w:sz w:val="20"/>
                <w:lang w:val="en-US" w:eastAsia="zh-CN"/>
              </w:rPr>
              <w:t>0</w:t>
            </w:r>
            <w:r>
              <w:rPr>
                <w:rFonts w:hint="default" w:ascii="Times New Roman" w:hAnsi="Times New Roman" w:eastAsia="宋体" w:cs="Times New Roman"/>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989217F">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A9894FA">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12DFDE">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5FEC764">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ascii="Times New Roman" w:hAnsi="Times New Roman" w:eastAsia="宋体" w:cs="Times New Roman"/>
                <w:snapToGrid/>
                <w:sz w:val="20"/>
                <w:lang w:val="en-US" w:eastAsia="zh-CN"/>
              </w:rPr>
              <w:t>0</w:t>
            </w:r>
          </w:p>
        </w:tc>
      </w:tr>
      <w:tr w14:paraId="65140F75">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363D60D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BAD3CC7">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FE6FF99">
            <w:pPr>
              <w:widowControl/>
              <w:autoSpaceDE/>
              <w:autoSpaceDN/>
              <w:snapToGrid/>
              <w:spacing w:line="240" w:lineRule="auto"/>
              <w:ind w:firstLine="0"/>
              <w:jc w:val="center"/>
              <w:rPr>
                <w:rFonts w:hint="eastAsia" w:ascii="Times New Roman" w:hAnsi="Times New Roman" w:eastAsia="宋体" w:cs="Times New Roman"/>
                <w:snapToGrid/>
                <w:sz w:val="24"/>
                <w:szCs w:val="24"/>
                <w:lang w:eastAsia="zh-CN"/>
              </w:rPr>
            </w:pPr>
            <w:r>
              <w:rPr>
                <w:rFonts w:hint="eastAsia" w:ascii="Times New Roman" w:hAnsi="Times New Roman" w:eastAsia="宋体" w:cs="Times New Roman"/>
                <w:snapToGrid/>
                <w:sz w:val="20"/>
                <w:lang w:val="en-US" w:eastAsia="zh-CN"/>
              </w:rPr>
              <w:t>7</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E75DAE">
            <w:pPr>
              <w:widowControl/>
              <w:autoSpaceDE/>
              <w:autoSpaceDN/>
              <w:snapToGrid/>
              <w:spacing w:line="240" w:lineRule="auto"/>
              <w:ind w:firstLine="0"/>
              <w:jc w:val="center"/>
              <w:rPr>
                <w:rFonts w:hint="eastAsia" w:ascii="Times New Roman" w:hAnsi="Times New Roman" w:eastAsia="宋体" w:cs="Times New Roman"/>
                <w:snapToGrid/>
                <w:sz w:val="24"/>
                <w:szCs w:val="24"/>
                <w:lang w:eastAsia="zh-CN"/>
              </w:rPr>
            </w:pPr>
            <w:r>
              <w:rPr>
                <w:rFonts w:hint="eastAsia" w:eastAsia="宋体" w:cs="Times New Roman"/>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5CF8A3">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1551F1C">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F1ECDD4">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23A1130">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4"/>
                <w:szCs w:val="24"/>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1ED8D61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ascii="Times New Roman" w:hAnsi="Times New Roman" w:eastAsia="宋体" w:cs="Times New Roman"/>
                <w:snapToGrid/>
                <w:sz w:val="20"/>
                <w:lang w:val="en-US" w:eastAsia="zh-CN"/>
              </w:rPr>
              <w:t>7</w:t>
            </w:r>
          </w:p>
        </w:tc>
      </w:tr>
      <w:tr w14:paraId="27147A4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66EF443">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01D6F348">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（二）部分公开</w:t>
            </w:r>
            <w:r>
              <w:rPr>
                <w:rFonts w:hint="default" w:ascii="Times New Roman" w:hAnsi="Times New Roman" w:eastAsia="楷体" w:cs="Times New Roman"/>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1DE077">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9A9FEAA">
            <w:pPr>
              <w:widowControl/>
              <w:autoSpaceDE/>
              <w:autoSpaceDN/>
              <w:snapToGrid/>
              <w:spacing w:line="240" w:lineRule="auto"/>
              <w:ind w:firstLine="0"/>
              <w:jc w:val="center"/>
              <w:rPr>
                <w:rFonts w:hint="default" w:ascii="Times New Roman" w:hAnsi="Times New Roman" w:eastAsia="宋体" w:cs="Times New Roman"/>
                <w:snapToGrid/>
                <w:sz w:val="24"/>
                <w:szCs w:val="24"/>
                <w:lang w:val="en-US" w:eastAsia="zh-CN"/>
              </w:rPr>
            </w:pP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F1090E">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F86D159">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019847B">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A02FDF">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84E8573">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eastAsia" w:eastAsia="宋体" w:cs="Times New Roman"/>
                <w:snapToGrid/>
                <w:sz w:val="24"/>
                <w:szCs w:val="24"/>
                <w:lang w:val="en-US" w:eastAsia="zh-CN"/>
              </w:rPr>
              <w:t>0</w:t>
            </w:r>
          </w:p>
        </w:tc>
      </w:tr>
      <w:tr w14:paraId="45860F0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E51E12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4367717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B41E27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6BEAF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03C0C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F908A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32BCF2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39D5B5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00B50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3F913B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C54A94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310AF8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36F3EDD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6CD86D8">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A2A71E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B731B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91D503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1D8CB3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A57465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E0E12D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68A62A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A0E557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74355A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53F6214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9F36542">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ECDBB2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95F8D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939BF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5B1FAF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6901E8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5D047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57FD37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0B78BAD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133BB9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69A31492">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F7C865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85DCE2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5DC627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FD36D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0751A6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DBAC87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3E417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0CFA7F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FFAAA7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24BFF5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60C4CE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A03999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504723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7A0DA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87701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67AE5F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D21AFA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19CB8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020FFC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031E315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392717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2ADA49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386DFD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7F8097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05556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50F7E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D882C5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E801AD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8C5EE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DDD259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44B607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6ECBA0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1A573D38">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49E3D70">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810F14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AAFFB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14753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B89EB5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5C2E22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1FC7B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7DA23F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555C58B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27915D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49C7C4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387342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2B0A21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B0A4E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CADAC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26C9F9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F87071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DB373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6D0125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6E48CC1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D5CA37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65EEC63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1BEEC4F">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1CA35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4E009F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CC16B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C1DDDF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3C2729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F3F61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29768B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134D992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276B61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135603D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9B62ACE">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E2FBA0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E98D5E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53A59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02971D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6E5A16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D888D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15DEA9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B672F8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01EC9A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2F033475">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AB45B94">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A9E3E1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1BD2F4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6D85B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206B04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A88CE8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59327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E40176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DEAA45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815AA1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5CCBBE9D">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64470E6">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5732E0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BD021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D0CBA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D1799E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936B2E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46A8A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6469CC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4D4C5BC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38EA088">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7C21080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102154E">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76508F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78DA7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9F171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4CDB39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02AF16E">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5D1EE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F09470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6A18849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44F02D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1E0875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5EAA17D">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2CA95E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A4D0A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6A6BC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98F177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6EACB7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61BAA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25A210A">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3579815E">
        <w:trPr>
          <w:jc w:val="center"/>
        </w:trPr>
        <w:tc>
          <w:tcPr>
            <w:tcW w:w="0" w:type="auto"/>
            <w:vMerge w:val="continue"/>
            <w:tcBorders>
              <w:top w:val="nil"/>
              <w:left w:val="single" w:color="auto" w:sz="8" w:space="0"/>
              <w:bottom w:val="inset" w:color="auto" w:sz="8" w:space="0"/>
              <w:right w:val="single" w:color="auto" w:sz="8" w:space="0"/>
            </w:tcBorders>
            <w:vAlign w:val="center"/>
          </w:tcPr>
          <w:p w14:paraId="70C44876">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2394E2BF">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10ABC15">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981527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B3AE8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AFE18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5C993D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222D65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1F1EEA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D4B924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4D97B7D">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45B0A08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nil"/>
              <w:bottom w:val="inset" w:color="auto" w:sz="8" w:space="0"/>
              <w:right w:val="single" w:color="auto" w:sz="8" w:space="0"/>
            </w:tcBorders>
            <w:vAlign w:val="center"/>
          </w:tcPr>
          <w:p w14:paraId="4F9DF7C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3FBADF75">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59E960D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2109FB6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1A492C6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124B042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5587659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881561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09E3DC4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23D903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E7D8E7A">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62D97139">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3A5A2C9">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9F2C4F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A1DC7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8949A6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D51F4F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4BCF1A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43FE3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09BB89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2658D75D">
        <w:trPr>
          <w:jc w:val="center"/>
        </w:trPr>
        <w:tc>
          <w:tcPr>
            <w:tcW w:w="0" w:type="auto"/>
            <w:vMerge w:val="continue"/>
            <w:tcBorders>
              <w:top w:val="nil"/>
              <w:left w:val="single" w:color="auto" w:sz="8" w:space="0"/>
              <w:bottom w:val="inset" w:color="auto" w:sz="8" w:space="0"/>
              <w:right w:val="single" w:color="auto" w:sz="8" w:space="0"/>
            </w:tcBorders>
            <w:vAlign w:val="center"/>
          </w:tcPr>
          <w:p w14:paraId="3435648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4F243190">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15F47275">
            <w:pPr>
              <w:widowControl/>
              <w:autoSpaceDE/>
              <w:autoSpaceDN/>
              <w:snapToGrid/>
              <w:spacing w:line="240" w:lineRule="auto"/>
              <w:ind w:firstLine="0"/>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552FF2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90629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F5F2C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E43F8D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07E7F4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69501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8F0E95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7FC4281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293B63C">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7AD1329E">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33F8D64C">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C8FD48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C28B87">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7DCE3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372164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782F86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6CBC5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D5CAEB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r w14:paraId="3ADD2D8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389FCD3">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AA97F21">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C66D54E">
            <w:pPr>
              <w:widowControl/>
              <w:autoSpaceDE/>
              <w:autoSpaceDN/>
              <w:snapToGrid/>
              <w:spacing w:line="240" w:lineRule="auto"/>
              <w:ind w:firstLine="0"/>
              <w:jc w:val="center"/>
              <w:rPr>
                <w:rFonts w:hint="eastAsia"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0"/>
                <w:lang w:val="en-US" w:eastAsia="zh-CN"/>
              </w:rPr>
              <w:t>7</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92B56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8CC98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62CDE6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AA0176B">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1C5BA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393E6B6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eastAsia" w:ascii="Times New Roman" w:hAnsi="Times New Roman" w:eastAsia="宋体" w:cs="Times New Roman"/>
                <w:snapToGrid/>
                <w:sz w:val="20"/>
                <w:lang w:val="en-US" w:eastAsia="zh-CN"/>
              </w:rPr>
              <w:t>7</w:t>
            </w:r>
          </w:p>
        </w:tc>
      </w:tr>
      <w:tr w14:paraId="27DF0A3F">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4ADC60A">
            <w:pPr>
              <w:widowControl/>
              <w:autoSpaceDE/>
              <w:autoSpaceDN/>
              <w:snapToGrid/>
              <w:spacing w:line="240" w:lineRule="auto"/>
              <w:ind w:firstLine="0"/>
              <w:jc w:val="left"/>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6A3EF6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D4ED3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60DDA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3A8CB74">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86EE095">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777DF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A161D7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bl>
    <w:p w14:paraId="6D8D9636">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黑体" w:cs="Times New Roman"/>
          <w:szCs w:val="32"/>
        </w:rPr>
      </w:pPr>
    </w:p>
    <w:p w14:paraId="79531CB6">
      <w:pPr>
        <w:spacing w:after="156" w:afterLines="50" w:line="240" w:lineRule="auto"/>
        <w:ind w:firstLine="640" w:firstLineChars="200"/>
        <w:rPr>
          <w:rFonts w:hint="default" w:ascii="Times New Roman" w:hAnsi="Times New Roman" w:eastAsia="黑体" w:cs="Times New Roman"/>
          <w:sz w:val="30"/>
          <w:szCs w:val="30"/>
        </w:rPr>
      </w:pPr>
      <w:r>
        <w:rPr>
          <w:rFonts w:hint="default" w:ascii="Times New Roman" w:hAnsi="Times New Roman" w:eastAsia="黑体" w:cs="Times New Roman"/>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D3A3C20">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7E04A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7B40D8">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行政诉讼</w:t>
            </w:r>
          </w:p>
        </w:tc>
      </w:tr>
      <w:tr w14:paraId="7F9D87AB">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367C3E">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AFCE1C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FE881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160EA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70584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F57E11">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598AB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复议后起诉</w:t>
            </w:r>
          </w:p>
        </w:tc>
      </w:tr>
      <w:tr w14:paraId="619724A6">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DBA39AB">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4E2442E9">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7C89024">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1A75611">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2E497BD">
            <w:pPr>
              <w:widowControl/>
              <w:autoSpaceDE/>
              <w:autoSpaceDN/>
              <w:snapToGrid/>
              <w:spacing w:line="240" w:lineRule="auto"/>
              <w:ind w:firstLine="0"/>
              <w:jc w:val="left"/>
              <w:rPr>
                <w:rFonts w:hint="default" w:ascii="Times New Roman" w:hAnsi="Times New Roman" w:eastAsia="宋体" w:cs="Times New Roman"/>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6D7389">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857F5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5632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0155D3">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5ADD3B">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1BC39D">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2EA43C">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C99E3F">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其他</w:t>
            </w:r>
            <w:r>
              <w:rPr>
                <w:rFonts w:hint="default" w:ascii="Times New Roman" w:hAnsi="Times New Roman" w:eastAsia="宋体" w:cs="Times New Roman"/>
                <w:snapToGrid/>
                <w:color w:val="000000"/>
                <w:sz w:val="20"/>
              </w:rPr>
              <w:br w:type="textWrapping"/>
            </w:r>
            <w:r>
              <w:rPr>
                <w:rFonts w:hint="default" w:ascii="Times New Roman" w:hAnsi="Times New Roman" w:eastAsia="宋体" w:cs="Times New Roman"/>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7518B6">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60225A">
            <w:pPr>
              <w:widowControl/>
              <w:autoSpaceDE/>
              <w:autoSpaceDN/>
              <w:snapToGrid/>
              <w:spacing w:line="240" w:lineRule="auto"/>
              <w:ind w:firstLine="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总计</w:t>
            </w:r>
          </w:p>
        </w:tc>
      </w:tr>
      <w:tr w14:paraId="7788F993">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28AB9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304DDD9">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C770F2">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A7D36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99EE58">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87256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B05861">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454BA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8BC89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E8FE9F">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DC6BE0">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7BD9A6">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2F7A93">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844F6D">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1C1F9C">
            <w:pPr>
              <w:widowControl/>
              <w:autoSpaceDE/>
              <w:autoSpaceDN/>
              <w:snapToGrid/>
              <w:spacing w:line="240" w:lineRule="auto"/>
              <w:ind w:firstLine="0" w:firstLineChars="0"/>
              <w:jc w:val="center"/>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 </w:t>
            </w:r>
            <w:r>
              <w:rPr>
                <w:rFonts w:hint="eastAsia" w:eastAsia="宋体" w:cs="Times New Roman"/>
                <w:snapToGrid/>
                <w:sz w:val="20"/>
                <w:lang w:val="en-US" w:eastAsia="zh-CN"/>
              </w:rPr>
              <w:t>0</w:t>
            </w:r>
          </w:p>
        </w:tc>
      </w:tr>
    </w:tbl>
    <w:p w14:paraId="425A3F48">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黑体" w:cs="Times New Roman"/>
          <w:szCs w:val="32"/>
          <w:lang w:eastAsia="zh-CN"/>
        </w:rPr>
      </w:pPr>
      <w:r>
        <w:rPr>
          <w:rFonts w:hint="default" w:ascii="Times New Roman" w:hAnsi="Times New Roman" w:eastAsia="黑体" w:cs="Times New Roman"/>
          <w:szCs w:val="32"/>
        </w:rPr>
        <w:t>五、存在的主要问题及改进情况</w:t>
      </w:r>
    </w:p>
    <w:p w14:paraId="112E6B2E">
      <w:pPr>
        <w:keepNext w:val="0"/>
        <w:keepLines w:val="0"/>
        <w:pageBreakBefore w:val="0"/>
        <w:widowControl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（一）存在问题</w:t>
      </w:r>
    </w:p>
    <w:p w14:paraId="4850EF03">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一是政务公开内容重形式轻实质，公众真正关切的重点领域信息（如执法依据、结果）公开不充分、不主动</w:t>
      </w:r>
    </w:p>
    <w:p w14:paraId="36B02423">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二是政务公开队伍专业能力有待进一步提升。兼职联络员多为各科室业务骨干，日常行政执法及业务工作任务繁重，投入政务公开工作的时间和精力有限，且缺乏系统的政务公开专业培训，对信息公开属性认定、依申请公开答复规范、敏感信息甄别等专业知识掌握不够扎实，工作规范性和精准度有待提高。</w:t>
      </w:r>
    </w:p>
    <w:p w14:paraId="1FC573EF">
      <w:pPr>
        <w:keepNext w:val="0"/>
        <w:keepLines w:val="0"/>
        <w:pageBreakBefore w:val="0"/>
        <w:widowControl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（二）改进情况</w:t>
      </w:r>
    </w:p>
    <w:p w14:paraId="516E315B">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一是聚焦执法依据、过程、结果等关键信息，建立信息清单，畅通公众咨询反馈渠道，提升公开实效。</w:t>
      </w:r>
    </w:p>
    <w:p w14:paraId="45582559">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二是优化队伍建设，提升专业履职能力。进一步充实政务公开工作力量，选拔业务能力强、责任心强的人员担任兼职联络员，建立“专职人员+兼职联络员”常态化培训机制，开展</w:t>
      </w:r>
      <w:r>
        <w:rPr>
          <w:rFonts w:hint="default" w:ascii="Times New Roman" w:hAnsi="Times New Roman" w:eastAsia="仿宋_GB2312" w:cs="Times New Roman"/>
          <w:szCs w:val="32"/>
          <w:lang w:val="en-US" w:eastAsia="zh-CN"/>
        </w:rPr>
        <w:t>专题培训</w:t>
      </w:r>
      <w:r>
        <w:rPr>
          <w:rFonts w:hint="eastAsia" w:ascii="Times New Roman" w:hAnsi="Times New Roman" w:eastAsia="仿宋_GB2312" w:cs="Times New Roman"/>
          <w:szCs w:val="32"/>
          <w:lang w:val="en-US" w:eastAsia="zh-CN"/>
        </w:rPr>
        <w:t>3</w:t>
      </w:r>
      <w:r>
        <w:rPr>
          <w:rFonts w:hint="default" w:ascii="Times New Roman" w:hAnsi="Times New Roman" w:eastAsia="仿宋_GB2312" w:cs="Times New Roman"/>
          <w:szCs w:val="32"/>
          <w:lang w:val="en-US" w:eastAsia="zh-CN"/>
        </w:rPr>
        <w:t>次，业务交流研讨3次，政务公开工作规范性显著提高。</w:t>
      </w:r>
    </w:p>
    <w:p w14:paraId="50197022">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六、其他需要报告的事项</w:t>
      </w:r>
    </w:p>
    <w:p w14:paraId="1F813B15">
      <w:pPr>
        <w:keepNext w:val="0"/>
        <w:keepLines w:val="0"/>
        <w:pageBreakBefore w:val="0"/>
        <w:widowControl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（一）政府信息公开信息处理费收取情况</w:t>
      </w:r>
    </w:p>
    <w:p w14:paraId="01C6895A">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2025年本机关依申请公开政府信息未收取任何费用。</w:t>
      </w:r>
    </w:p>
    <w:p w14:paraId="083A865A">
      <w:pPr>
        <w:keepNext w:val="0"/>
        <w:keepLines w:val="0"/>
        <w:pageBreakBefore w:val="0"/>
        <w:widowControl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（二）落实上级年度政务公开工作要点情况</w:t>
      </w:r>
    </w:p>
    <w:p w14:paraId="35A61E2B">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严格落实国家和省</w:t>
      </w:r>
      <w:r>
        <w:rPr>
          <w:rFonts w:hint="eastAsia" w:ascii="Times New Roman" w:hAnsi="Times New Roman" w:eastAsia="仿宋_GB2312" w:cs="Times New Roman"/>
          <w:szCs w:val="32"/>
          <w:lang w:val="en-US" w:eastAsia="zh-CN"/>
        </w:rPr>
        <w:t>、</w:t>
      </w:r>
      <w:r>
        <w:rPr>
          <w:rFonts w:hint="default" w:ascii="Times New Roman" w:hAnsi="Times New Roman" w:eastAsia="仿宋_GB2312" w:cs="Times New Roman"/>
          <w:szCs w:val="32"/>
          <w:lang w:val="en-US" w:eastAsia="zh-CN"/>
        </w:rPr>
        <w:t>市</w:t>
      </w:r>
      <w:r>
        <w:rPr>
          <w:rFonts w:hint="eastAsia" w:ascii="Times New Roman" w:hAnsi="Times New Roman" w:eastAsia="仿宋_GB2312" w:cs="Times New Roman"/>
          <w:szCs w:val="32"/>
          <w:lang w:val="en-US" w:eastAsia="zh-CN"/>
        </w:rPr>
        <w:t>、</w:t>
      </w:r>
      <w:r>
        <w:rPr>
          <w:rFonts w:hint="default" w:ascii="Times New Roman" w:hAnsi="Times New Roman" w:eastAsia="仿宋_GB2312" w:cs="Times New Roman"/>
          <w:szCs w:val="32"/>
          <w:lang w:val="en-US" w:eastAsia="zh-CN"/>
        </w:rPr>
        <w:t>县政务公开工作要点，并根据《高青县人民政府办公室关于印发2025年高青县政务公开工作方案的通知》要求，制定《高青县综合行政执法局政务公开工作方案》，明确重点任务、工作标准、责任分工及完成时限。一是深化城市管理领域执法信息公开。全面推行行政执法“三项制度”，公开执法主体、执法依据、执法流程等基础信息，及时公示行政处罚、行政强制等执法结果，全年公开执法信息320条，开展典型案例解读6期，以公开促执法规范，有效提升执法公信力。二是推进民生实事项目公开透明。围绕城乡环境整治成效巩固提升专项行动</w:t>
      </w:r>
      <w:r>
        <w:rPr>
          <w:rFonts w:hint="eastAsia" w:ascii="Times New Roman" w:hAnsi="Times New Roman" w:eastAsia="仿宋_GB2312" w:cs="Times New Roman"/>
          <w:szCs w:val="32"/>
          <w:lang w:val="en-US" w:eastAsia="zh-CN"/>
        </w:rPr>
        <w:t>、物业服务品质提升行动等民生实事</w:t>
      </w:r>
      <w:r>
        <w:rPr>
          <w:rFonts w:hint="default" w:ascii="Times New Roman" w:hAnsi="Times New Roman" w:eastAsia="仿宋_GB2312" w:cs="Times New Roman"/>
          <w:szCs w:val="32"/>
          <w:lang w:val="en-US" w:eastAsia="zh-CN"/>
        </w:rPr>
        <w:t>，及时更新工作进展、阶段成效及下一步计划，全年公开民生实事相关信息45条，主动接受群众监督，确保民生实事落地见效。三是强化群众诉求回应办理。整合12345政务服务热线、政府信箱等诉求渠道，建立“多渠道受理、一体化调度、闭环式处置”的诉求响应体系，规范办理流程，缩短办理时限，提升办理质量，全年办理各类群众诉求47</w:t>
      </w:r>
      <w:r>
        <w:rPr>
          <w:rFonts w:hint="eastAsia" w:ascii="Times New Roman" w:hAnsi="Times New Roman" w:eastAsia="仿宋_GB2312" w:cs="Times New Roman"/>
          <w:szCs w:val="32"/>
          <w:lang w:val="en-US" w:eastAsia="zh-CN"/>
        </w:rPr>
        <w:t>90</w:t>
      </w:r>
      <w:r>
        <w:rPr>
          <w:rFonts w:hint="default" w:ascii="Times New Roman" w:hAnsi="Times New Roman" w:eastAsia="仿宋_GB2312" w:cs="Times New Roman"/>
          <w:szCs w:val="32"/>
          <w:lang w:val="en-US" w:eastAsia="zh-CN"/>
        </w:rPr>
        <w:t>件，群众满意度持续提升。</w:t>
      </w:r>
    </w:p>
    <w:p w14:paraId="55A4AF16">
      <w:pPr>
        <w:keepNext w:val="0"/>
        <w:keepLines w:val="0"/>
        <w:pageBreakBefore w:val="0"/>
        <w:widowControl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（三）人大代表建议和政协委员提案办理结果公开情况</w:t>
      </w:r>
    </w:p>
    <w:p w14:paraId="61100978">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年共承办县十八届人大</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次会议建议</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件，承办县政协十五届</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次会议提案</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件，办复率均为100%。除涉及国家秘密、工作秘密的，所有建议提案办理复文或摘要以及办理总体情况均在县政府门户网站建议提案办理专题中予以公开。</w:t>
      </w:r>
    </w:p>
    <w:p w14:paraId="4FFB8932">
      <w:pPr>
        <w:keepNext w:val="0"/>
        <w:keepLines w:val="0"/>
        <w:pageBreakBefore w:val="0"/>
        <w:widowControl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（四）政务公开工作创新情况</w:t>
      </w:r>
    </w:p>
    <w:p w14:paraId="6DD21661">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创新推行“执法公开+社区共治”工作模式，构建“双向互动、协同共治”的政务公开新格局。一是强化标准与清单，制定社区级政务公开事项目录与互动流程标准，提升规范化水平。二是深化数据赋能，依托社区平台动态公开执法数据、问题处置进度，并设置“民情地图”可视化模块，提升透明与精准性。三是优化反馈闭环，建立“收集-公开-办理-反馈-评价”全链条机制，定期公开典型问题解决案例与共治成效，激发居民持续参与动力，使公开真正成为治理的引擎。</w:t>
      </w:r>
    </w:p>
    <w:p w14:paraId="29C2584A">
      <w:pPr>
        <w:keepNext w:val="0"/>
        <w:keepLines w:val="0"/>
        <w:pageBreakBefore w:val="0"/>
        <w:widowControl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（五）有关数据统计说明</w:t>
      </w:r>
    </w:p>
    <w:p w14:paraId="2B380A2C">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1.报告中所列数据可能因四舍五入原因与数据直接相加之和存在尾数差异。</w:t>
      </w:r>
    </w:p>
    <w:p w14:paraId="47B69B63">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2.行政许可数量、行政处罚和行政强制数量，包括已公开和依法未公开的全部处理决定。</w:t>
      </w:r>
    </w:p>
    <w:p w14:paraId="1CD5F8CF">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楷体_GB2312" w:cs="Times New Roman"/>
          <w:sz w:val="30"/>
          <w:szCs w:val="30"/>
        </w:rPr>
      </w:pPr>
      <w:r>
        <w:rPr>
          <w:rFonts w:hint="default" w:ascii="Times New Roman" w:hAnsi="Times New Roman" w:eastAsia="仿宋_GB2312" w:cs="Times New Roman"/>
          <w:sz w:val="32"/>
          <w:szCs w:val="32"/>
        </w:rPr>
        <w:t>3.行政复议机关作为共同被告的行政诉讼案件，只计算原行为主体的案件数量，不计算行政复议机关的案件数量。</w:t>
      </w:r>
    </w:p>
    <w:sectPr>
      <w:pgSz w:w="11906" w:h="16838"/>
      <w:pgMar w:top="1984" w:right="1474" w:bottom="1701"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34"/>
    <w:family w:val="auto"/>
    <w:pitch w:val="default"/>
    <w:sig w:usb0="00000003" w:usb1="080E0000" w:usb2="00000000"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EU-B1">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164C26"/>
    <w:rsid w:val="00210F4D"/>
    <w:rsid w:val="00211942"/>
    <w:rsid w:val="002133C7"/>
    <w:rsid w:val="002961F2"/>
    <w:rsid w:val="002E3543"/>
    <w:rsid w:val="003B5255"/>
    <w:rsid w:val="003D2AB6"/>
    <w:rsid w:val="003D6FCB"/>
    <w:rsid w:val="003E75A6"/>
    <w:rsid w:val="00415AB1"/>
    <w:rsid w:val="004622F8"/>
    <w:rsid w:val="004C1750"/>
    <w:rsid w:val="004D241E"/>
    <w:rsid w:val="00515DB1"/>
    <w:rsid w:val="00523855"/>
    <w:rsid w:val="005422B3"/>
    <w:rsid w:val="00591E5D"/>
    <w:rsid w:val="005B13CD"/>
    <w:rsid w:val="005C0F41"/>
    <w:rsid w:val="0065765D"/>
    <w:rsid w:val="00673AC7"/>
    <w:rsid w:val="006947A5"/>
    <w:rsid w:val="00704FCD"/>
    <w:rsid w:val="00883F7A"/>
    <w:rsid w:val="008C4ED2"/>
    <w:rsid w:val="00915D0B"/>
    <w:rsid w:val="009B028C"/>
    <w:rsid w:val="00C542CC"/>
    <w:rsid w:val="00C67940"/>
    <w:rsid w:val="00C73BD0"/>
    <w:rsid w:val="00CC2BE7"/>
    <w:rsid w:val="00CC521B"/>
    <w:rsid w:val="00CD1D00"/>
    <w:rsid w:val="00D234BA"/>
    <w:rsid w:val="00E50639"/>
    <w:rsid w:val="00E60B5D"/>
    <w:rsid w:val="00EA0721"/>
    <w:rsid w:val="00ED2963"/>
    <w:rsid w:val="00EF5607"/>
    <w:rsid w:val="00F9257D"/>
    <w:rsid w:val="00FA216A"/>
    <w:rsid w:val="00FD5381"/>
    <w:rsid w:val="0137343F"/>
    <w:rsid w:val="028A71FF"/>
    <w:rsid w:val="02FF2F26"/>
    <w:rsid w:val="036C38B9"/>
    <w:rsid w:val="045D4C41"/>
    <w:rsid w:val="0500461D"/>
    <w:rsid w:val="056F4631"/>
    <w:rsid w:val="06B65283"/>
    <w:rsid w:val="071D109B"/>
    <w:rsid w:val="07506C6F"/>
    <w:rsid w:val="077E1A2E"/>
    <w:rsid w:val="07925A31"/>
    <w:rsid w:val="07A0147A"/>
    <w:rsid w:val="07CC09EB"/>
    <w:rsid w:val="07D13705"/>
    <w:rsid w:val="081A339A"/>
    <w:rsid w:val="085E1304"/>
    <w:rsid w:val="087A48A6"/>
    <w:rsid w:val="09024A32"/>
    <w:rsid w:val="09570333"/>
    <w:rsid w:val="096A04BC"/>
    <w:rsid w:val="097A4477"/>
    <w:rsid w:val="0A245577"/>
    <w:rsid w:val="0A99092D"/>
    <w:rsid w:val="0AF71D29"/>
    <w:rsid w:val="0B6941DA"/>
    <w:rsid w:val="0CCB568C"/>
    <w:rsid w:val="0CF140C8"/>
    <w:rsid w:val="0D1B1BBB"/>
    <w:rsid w:val="0DCF60DD"/>
    <w:rsid w:val="0DE620DB"/>
    <w:rsid w:val="0DEC3713"/>
    <w:rsid w:val="0DEF6094"/>
    <w:rsid w:val="0E213113"/>
    <w:rsid w:val="0E6331E7"/>
    <w:rsid w:val="0EE13405"/>
    <w:rsid w:val="0EE7435D"/>
    <w:rsid w:val="0EEB3247"/>
    <w:rsid w:val="0F4F723E"/>
    <w:rsid w:val="0F535C58"/>
    <w:rsid w:val="0FED54E5"/>
    <w:rsid w:val="100D7367"/>
    <w:rsid w:val="10AA08EC"/>
    <w:rsid w:val="10B84553"/>
    <w:rsid w:val="1185730A"/>
    <w:rsid w:val="11C60740"/>
    <w:rsid w:val="123122E5"/>
    <w:rsid w:val="126D1E1C"/>
    <w:rsid w:val="12E52961"/>
    <w:rsid w:val="12F75EB0"/>
    <w:rsid w:val="13855EF2"/>
    <w:rsid w:val="13C24A51"/>
    <w:rsid w:val="13FA446D"/>
    <w:rsid w:val="143951F9"/>
    <w:rsid w:val="14691987"/>
    <w:rsid w:val="14B33A8A"/>
    <w:rsid w:val="14E530ED"/>
    <w:rsid w:val="151B6B0E"/>
    <w:rsid w:val="152A7A45"/>
    <w:rsid w:val="156A1312"/>
    <w:rsid w:val="16490368"/>
    <w:rsid w:val="167E0FA5"/>
    <w:rsid w:val="16B73C96"/>
    <w:rsid w:val="178D1819"/>
    <w:rsid w:val="17AE27E6"/>
    <w:rsid w:val="19134F44"/>
    <w:rsid w:val="192B4FBC"/>
    <w:rsid w:val="19642B86"/>
    <w:rsid w:val="19762565"/>
    <w:rsid w:val="1988673C"/>
    <w:rsid w:val="19D857E0"/>
    <w:rsid w:val="1A097E40"/>
    <w:rsid w:val="1A3B2265"/>
    <w:rsid w:val="1A687DF5"/>
    <w:rsid w:val="1A7F4978"/>
    <w:rsid w:val="1B1D7B9C"/>
    <w:rsid w:val="1B5A7C65"/>
    <w:rsid w:val="1BCF2401"/>
    <w:rsid w:val="1D491431"/>
    <w:rsid w:val="1D580462"/>
    <w:rsid w:val="1D6E5DE2"/>
    <w:rsid w:val="1E016A0C"/>
    <w:rsid w:val="1E083423"/>
    <w:rsid w:val="1E7A2AF8"/>
    <w:rsid w:val="1EC45C73"/>
    <w:rsid w:val="1EDA5344"/>
    <w:rsid w:val="1F9C131F"/>
    <w:rsid w:val="1FBA6F24"/>
    <w:rsid w:val="1FDB75C6"/>
    <w:rsid w:val="20052AA6"/>
    <w:rsid w:val="20266765"/>
    <w:rsid w:val="21240AF9"/>
    <w:rsid w:val="21C659DD"/>
    <w:rsid w:val="22D24D9C"/>
    <w:rsid w:val="22DD04CF"/>
    <w:rsid w:val="22F526A1"/>
    <w:rsid w:val="23D84521"/>
    <w:rsid w:val="25506360"/>
    <w:rsid w:val="258904E7"/>
    <w:rsid w:val="258E6E89"/>
    <w:rsid w:val="259D531E"/>
    <w:rsid w:val="25D32AED"/>
    <w:rsid w:val="26AA663B"/>
    <w:rsid w:val="270A38F0"/>
    <w:rsid w:val="27677991"/>
    <w:rsid w:val="277F1EA7"/>
    <w:rsid w:val="279766D9"/>
    <w:rsid w:val="27F07864"/>
    <w:rsid w:val="283C0E1E"/>
    <w:rsid w:val="28801E23"/>
    <w:rsid w:val="288D4E09"/>
    <w:rsid w:val="28E5317D"/>
    <w:rsid w:val="29030C50"/>
    <w:rsid w:val="29303854"/>
    <w:rsid w:val="29C60DE7"/>
    <w:rsid w:val="2A89562B"/>
    <w:rsid w:val="2A8D770F"/>
    <w:rsid w:val="2B8E1990"/>
    <w:rsid w:val="2BED66EB"/>
    <w:rsid w:val="2BF21BCD"/>
    <w:rsid w:val="2C572AAC"/>
    <w:rsid w:val="2C9C0EB8"/>
    <w:rsid w:val="2D8867FD"/>
    <w:rsid w:val="2E255EB0"/>
    <w:rsid w:val="2E5121F0"/>
    <w:rsid w:val="2EB536D8"/>
    <w:rsid w:val="2EE7693B"/>
    <w:rsid w:val="2F2959CB"/>
    <w:rsid w:val="2F8C6D98"/>
    <w:rsid w:val="2F8C7506"/>
    <w:rsid w:val="304A2EDB"/>
    <w:rsid w:val="307A6987"/>
    <w:rsid w:val="308275EA"/>
    <w:rsid w:val="30B005FB"/>
    <w:rsid w:val="30F1623F"/>
    <w:rsid w:val="30FE1750"/>
    <w:rsid w:val="314805C3"/>
    <w:rsid w:val="31E63BA8"/>
    <w:rsid w:val="32170A33"/>
    <w:rsid w:val="32720CC9"/>
    <w:rsid w:val="328569F3"/>
    <w:rsid w:val="32BB5035"/>
    <w:rsid w:val="333077D1"/>
    <w:rsid w:val="3349717B"/>
    <w:rsid w:val="33843679"/>
    <w:rsid w:val="33945FB2"/>
    <w:rsid w:val="33C85C5B"/>
    <w:rsid w:val="34453AED"/>
    <w:rsid w:val="34C16318"/>
    <w:rsid w:val="356D6ABA"/>
    <w:rsid w:val="357940C4"/>
    <w:rsid w:val="35812566"/>
    <w:rsid w:val="35936690"/>
    <w:rsid w:val="359F479A"/>
    <w:rsid w:val="35B95678"/>
    <w:rsid w:val="35D244E9"/>
    <w:rsid w:val="36180E11"/>
    <w:rsid w:val="3620283E"/>
    <w:rsid w:val="366D6646"/>
    <w:rsid w:val="36C616DB"/>
    <w:rsid w:val="37180EE6"/>
    <w:rsid w:val="37763248"/>
    <w:rsid w:val="37C87FD8"/>
    <w:rsid w:val="37F46CC5"/>
    <w:rsid w:val="38653A79"/>
    <w:rsid w:val="3A2160C5"/>
    <w:rsid w:val="3A744447"/>
    <w:rsid w:val="3AB24F6F"/>
    <w:rsid w:val="3AD26631"/>
    <w:rsid w:val="3B274F4E"/>
    <w:rsid w:val="3B53193D"/>
    <w:rsid w:val="3B856E4B"/>
    <w:rsid w:val="3CB732CC"/>
    <w:rsid w:val="3CFB7CD3"/>
    <w:rsid w:val="3E0F1060"/>
    <w:rsid w:val="3ED41958"/>
    <w:rsid w:val="3F542A99"/>
    <w:rsid w:val="3FAA3595"/>
    <w:rsid w:val="3FFE2BEB"/>
    <w:rsid w:val="403245F9"/>
    <w:rsid w:val="406F1488"/>
    <w:rsid w:val="40956690"/>
    <w:rsid w:val="40C968B5"/>
    <w:rsid w:val="412749E7"/>
    <w:rsid w:val="414E058B"/>
    <w:rsid w:val="41CB669E"/>
    <w:rsid w:val="422B5210"/>
    <w:rsid w:val="425F440E"/>
    <w:rsid w:val="432664FB"/>
    <w:rsid w:val="43272DE2"/>
    <w:rsid w:val="432B1381"/>
    <w:rsid w:val="43F263DD"/>
    <w:rsid w:val="440802E3"/>
    <w:rsid w:val="44330ECF"/>
    <w:rsid w:val="443C2A7C"/>
    <w:rsid w:val="444C2D75"/>
    <w:rsid w:val="44557097"/>
    <w:rsid w:val="448A1972"/>
    <w:rsid w:val="44A41DCD"/>
    <w:rsid w:val="451A5F22"/>
    <w:rsid w:val="45BB491C"/>
    <w:rsid w:val="45DE130F"/>
    <w:rsid w:val="45E85CE9"/>
    <w:rsid w:val="48847F4B"/>
    <w:rsid w:val="490A36DF"/>
    <w:rsid w:val="492339A4"/>
    <w:rsid w:val="4A0B01F8"/>
    <w:rsid w:val="4A7A3BB1"/>
    <w:rsid w:val="4AA04DE4"/>
    <w:rsid w:val="4B8B7441"/>
    <w:rsid w:val="4C8C0A39"/>
    <w:rsid w:val="4CB70475"/>
    <w:rsid w:val="4D716331"/>
    <w:rsid w:val="4DBE3EFF"/>
    <w:rsid w:val="4E2E29AE"/>
    <w:rsid w:val="4E3A43C4"/>
    <w:rsid w:val="4E564138"/>
    <w:rsid w:val="4EF5033F"/>
    <w:rsid w:val="4FB216C3"/>
    <w:rsid w:val="4FE911A0"/>
    <w:rsid w:val="50287CD4"/>
    <w:rsid w:val="507B7E86"/>
    <w:rsid w:val="50E3604F"/>
    <w:rsid w:val="51F3621E"/>
    <w:rsid w:val="525C5A95"/>
    <w:rsid w:val="5263074D"/>
    <w:rsid w:val="52820C16"/>
    <w:rsid w:val="5293012E"/>
    <w:rsid w:val="536E1371"/>
    <w:rsid w:val="53A063C7"/>
    <w:rsid w:val="53DB73B9"/>
    <w:rsid w:val="54640C31"/>
    <w:rsid w:val="55C53951"/>
    <w:rsid w:val="563C1E65"/>
    <w:rsid w:val="571903F8"/>
    <w:rsid w:val="573568B4"/>
    <w:rsid w:val="57376AD1"/>
    <w:rsid w:val="57BF5FD4"/>
    <w:rsid w:val="57E20EDE"/>
    <w:rsid w:val="585F008D"/>
    <w:rsid w:val="58B101BD"/>
    <w:rsid w:val="58D83B72"/>
    <w:rsid w:val="59786F11"/>
    <w:rsid w:val="5AC17F6F"/>
    <w:rsid w:val="5AD74B78"/>
    <w:rsid w:val="5B10566E"/>
    <w:rsid w:val="5B2348F0"/>
    <w:rsid w:val="5B3B5816"/>
    <w:rsid w:val="5B835ABE"/>
    <w:rsid w:val="5BA10D19"/>
    <w:rsid w:val="5BB4249E"/>
    <w:rsid w:val="5BC87F7F"/>
    <w:rsid w:val="5BFB3A80"/>
    <w:rsid w:val="5C2D33E7"/>
    <w:rsid w:val="5D3078A7"/>
    <w:rsid w:val="5D5E6B65"/>
    <w:rsid w:val="5DCF1811"/>
    <w:rsid w:val="5E1724EB"/>
    <w:rsid w:val="5FDE3F8D"/>
    <w:rsid w:val="61106345"/>
    <w:rsid w:val="61137C66"/>
    <w:rsid w:val="612B51A7"/>
    <w:rsid w:val="61E82EA1"/>
    <w:rsid w:val="62C0797A"/>
    <w:rsid w:val="63302D52"/>
    <w:rsid w:val="63332842"/>
    <w:rsid w:val="63DE39EA"/>
    <w:rsid w:val="63E87188"/>
    <w:rsid w:val="643A6F15"/>
    <w:rsid w:val="64943AA3"/>
    <w:rsid w:val="655F347A"/>
    <w:rsid w:val="656C5FD3"/>
    <w:rsid w:val="65AE168C"/>
    <w:rsid w:val="667565E0"/>
    <w:rsid w:val="66F308F4"/>
    <w:rsid w:val="67B33F51"/>
    <w:rsid w:val="68373BBF"/>
    <w:rsid w:val="68374408"/>
    <w:rsid w:val="6884144A"/>
    <w:rsid w:val="68AD27CB"/>
    <w:rsid w:val="68B01703"/>
    <w:rsid w:val="68D221B5"/>
    <w:rsid w:val="699B4C9D"/>
    <w:rsid w:val="6A4B15F0"/>
    <w:rsid w:val="6A5D139E"/>
    <w:rsid w:val="6AE83F12"/>
    <w:rsid w:val="6B7439F8"/>
    <w:rsid w:val="6C5C6966"/>
    <w:rsid w:val="6D0A52C2"/>
    <w:rsid w:val="6DDE33AA"/>
    <w:rsid w:val="6DFD5140"/>
    <w:rsid w:val="6E6C6C08"/>
    <w:rsid w:val="6E906D9A"/>
    <w:rsid w:val="6F19036A"/>
    <w:rsid w:val="6F46176F"/>
    <w:rsid w:val="6F72024E"/>
    <w:rsid w:val="6F9523CE"/>
    <w:rsid w:val="70230F84"/>
    <w:rsid w:val="7048222A"/>
    <w:rsid w:val="71132317"/>
    <w:rsid w:val="71441716"/>
    <w:rsid w:val="71AF3E21"/>
    <w:rsid w:val="72277783"/>
    <w:rsid w:val="724709FB"/>
    <w:rsid w:val="724E6446"/>
    <w:rsid w:val="73A052BC"/>
    <w:rsid w:val="73CF1435"/>
    <w:rsid w:val="74B453E8"/>
    <w:rsid w:val="7596337E"/>
    <w:rsid w:val="75C07904"/>
    <w:rsid w:val="760B6D06"/>
    <w:rsid w:val="76336D41"/>
    <w:rsid w:val="764A3CD3"/>
    <w:rsid w:val="764E7261"/>
    <w:rsid w:val="76C1417F"/>
    <w:rsid w:val="785B52D1"/>
    <w:rsid w:val="78912898"/>
    <w:rsid w:val="78A0530C"/>
    <w:rsid w:val="79652BD2"/>
    <w:rsid w:val="79EE0E9A"/>
    <w:rsid w:val="7A796935"/>
    <w:rsid w:val="7AE6DAB4"/>
    <w:rsid w:val="7AE74A5D"/>
    <w:rsid w:val="7B1E6D3A"/>
    <w:rsid w:val="7C0814C8"/>
    <w:rsid w:val="7C3A20F4"/>
    <w:rsid w:val="7D272C9D"/>
    <w:rsid w:val="7D996934"/>
    <w:rsid w:val="7EA20211"/>
    <w:rsid w:val="7EA36676"/>
    <w:rsid w:val="9EBD1C24"/>
    <w:rsid w:val="DBF932EC"/>
    <w:rsid w:val="DEDE4DDC"/>
    <w:rsid w:val="F9B96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rPr>
  </w:style>
  <w:style w:type="character" w:customStyle="1" w:styleId="9">
    <w:name w:val="页眉 Char"/>
    <w:basedOn w:val="7"/>
    <w:link w:val="4"/>
    <w:qFormat/>
    <w:uiPriority w:val="99"/>
    <w:rPr>
      <w:rFonts w:ascii="Times New Roman" w:hAnsi="Times New Roman" w:eastAsia="方正仿宋_GBK" w:cs="Times New Roman"/>
      <w:snapToGrid w:val="0"/>
      <w:kern w:val="0"/>
      <w:sz w:val="18"/>
      <w:szCs w:val="18"/>
    </w:rPr>
  </w:style>
  <w:style w:type="character" w:customStyle="1" w:styleId="10">
    <w:name w:val="页脚 Char"/>
    <w:basedOn w:val="7"/>
    <w:link w:val="3"/>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4102</Words>
  <Characters>4281</Characters>
  <Lines>15</Lines>
  <Paragraphs>4</Paragraphs>
  <TotalTime>26</TotalTime>
  <ScaleCrop>false</ScaleCrop>
  <LinksUpToDate>false</LinksUpToDate>
  <CharactersWithSpaces>4281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2022-01-02T17:04:00Z</dcterms:created>
  <dc:creator>lb</dc:creator>
  <cp:lastModifiedBy>user</cp:lastModifiedBy>
  <cp:lastPrinted>2026-01-07T22:52:00Z</cp:lastPrinted>
  <dcterms:modified xsi:type="dcterms:W3CDTF">2026-01-27T17:12:05Z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eyJoZGlkIjoiNjE5NjgwNjNiY2JlMzNkMjdjNGY3ZDBjMjBlNjE3YzMiLCJ1c2VySWQiOiIzMDI2NDg0NjcifQ==</vt:lpwstr>
  </property>
  <property fmtid="{D5CDD505-2E9C-101B-9397-08002B2CF9AE}" pid="3" name="KSOProductBuildVer">
    <vt:lpwstr>2052-12.1.2.23578</vt:lpwstr>
  </property>
  <property fmtid="{D5CDD505-2E9C-101B-9397-08002B2CF9AE}" pid="4" name="ICV">
    <vt:lpwstr>A245CCE5A6C04D8484ADF8C25F8D7F46_13</vt:lpwstr>
  </property>
</Properties>
</file>