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ascii="微软雅黑" w:hAnsi="微软雅黑" w:eastAsia="微软雅黑" w:cs="微软雅黑"/>
          <w:b/>
          <w:bCs/>
          <w:i w:val="0"/>
          <w:iCs w:val="0"/>
          <w:caps w:val="0"/>
          <w:color w:val="333333"/>
          <w:spacing w:val="0"/>
          <w:sz w:val="42"/>
          <w:szCs w:val="42"/>
        </w:rPr>
      </w:pPr>
      <w:r>
        <w:rPr>
          <w:rFonts w:hint="eastAsia" w:ascii="微软雅黑" w:hAnsi="微软雅黑" w:eastAsia="微软雅黑" w:cs="微软雅黑"/>
          <w:b/>
          <w:bCs/>
          <w:i w:val="0"/>
          <w:iCs w:val="0"/>
          <w:caps w:val="0"/>
          <w:color w:val="333333"/>
          <w:spacing w:val="0"/>
          <w:sz w:val="42"/>
          <w:szCs w:val="42"/>
        </w:rPr>
        <w:t>高青县综合行政执法局政府信息主动公开基本目录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rStyle w:val="6"/>
          <w:rFonts w:ascii="黑体" w:hAnsi="宋体" w:eastAsia="黑体" w:cs="黑体"/>
          <w:b/>
          <w:bCs/>
          <w:i w:val="0"/>
          <w:iCs w:val="0"/>
          <w:caps w:val="0"/>
          <w:color w:val="000000"/>
          <w:spacing w:val="0"/>
          <w:sz w:val="21"/>
          <w:szCs w:val="21"/>
        </w:rPr>
      </w:pPr>
    </w:p>
    <w:tbl>
      <w:tblPr>
        <w:tblStyle w:val="4"/>
        <w:tblpPr w:leftFromText="180" w:rightFromText="180" w:vertAnchor="text" w:tblpXSpec="center" w:tblpY="1"/>
        <w:tblOverlap w:val="never"/>
        <w:tblW w:w="1281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21"/>
        <w:gridCol w:w="1089"/>
        <w:gridCol w:w="1672"/>
        <w:gridCol w:w="3835"/>
        <w:gridCol w:w="3007"/>
        <w:gridCol w:w="1243"/>
        <w:gridCol w:w="12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0" w:hRule="atLeast"/>
        </w:trPr>
        <w:tc>
          <w:tcPr>
            <w:tcW w:w="70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Style w:val="6"/>
                <w:rFonts w:ascii="黑体" w:hAnsi="宋体" w:eastAsia="黑体" w:cs="黑体"/>
                <w:b/>
                <w:bCs/>
                <w:i w:val="0"/>
                <w:iCs w:val="0"/>
                <w:caps w:val="0"/>
                <w:color w:val="000000"/>
                <w:spacing w:val="0"/>
                <w:sz w:val="21"/>
                <w:szCs w:val="21"/>
              </w:rPr>
              <w:t>一级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Style w:val="6"/>
                <w:rFonts w:hint="eastAsia" w:ascii="黑体" w:hAnsi="宋体" w:eastAsia="黑体" w:cs="黑体"/>
                <w:b/>
                <w:bCs/>
                <w:i w:val="0"/>
                <w:iCs w:val="0"/>
                <w:caps w:val="0"/>
                <w:color w:val="000000"/>
                <w:spacing w:val="0"/>
                <w:sz w:val="21"/>
                <w:szCs w:val="21"/>
              </w:rPr>
              <w:t>指标</w:t>
            </w:r>
          </w:p>
        </w:tc>
        <w:tc>
          <w:tcPr>
            <w:tcW w:w="106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Style w:val="6"/>
                <w:rFonts w:hint="eastAsia" w:ascii="黑体" w:hAnsi="宋体" w:eastAsia="黑体" w:cs="黑体"/>
                <w:b/>
                <w:bCs/>
                <w:i w:val="0"/>
                <w:iCs w:val="0"/>
                <w:caps w:val="0"/>
                <w:color w:val="000000"/>
                <w:spacing w:val="0"/>
                <w:sz w:val="21"/>
                <w:szCs w:val="21"/>
              </w:rPr>
              <w:t>二级指标</w:t>
            </w:r>
          </w:p>
        </w:tc>
        <w:tc>
          <w:tcPr>
            <w:tcW w:w="163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Style w:val="6"/>
                <w:rFonts w:hint="eastAsia" w:ascii="黑体" w:hAnsi="宋体" w:eastAsia="黑体" w:cs="黑体"/>
                <w:b/>
                <w:bCs/>
                <w:i w:val="0"/>
                <w:iCs w:val="0"/>
                <w:caps w:val="0"/>
                <w:color w:val="000000"/>
                <w:spacing w:val="0"/>
                <w:sz w:val="21"/>
                <w:szCs w:val="21"/>
              </w:rPr>
              <w:t>三级指标</w:t>
            </w:r>
          </w:p>
        </w:tc>
        <w:tc>
          <w:tcPr>
            <w:tcW w:w="375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Style w:val="6"/>
                <w:rFonts w:hint="eastAsia" w:ascii="黑体" w:hAnsi="宋体" w:eastAsia="黑体" w:cs="黑体"/>
                <w:b/>
                <w:bCs/>
                <w:i w:val="0"/>
                <w:iCs w:val="0"/>
                <w:caps w:val="0"/>
                <w:color w:val="000000"/>
                <w:spacing w:val="0"/>
                <w:sz w:val="21"/>
                <w:szCs w:val="21"/>
              </w:rPr>
              <w:t>维护内容及要求</w:t>
            </w:r>
          </w:p>
        </w:tc>
        <w:tc>
          <w:tcPr>
            <w:tcW w:w="294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Style w:val="6"/>
                <w:rFonts w:hint="eastAsia" w:ascii="黑体" w:hAnsi="宋体" w:eastAsia="黑体" w:cs="黑体"/>
                <w:b/>
                <w:bCs/>
                <w:i w:val="0"/>
                <w:iCs w:val="0"/>
                <w:caps w:val="0"/>
                <w:color w:val="000000"/>
                <w:spacing w:val="0"/>
                <w:sz w:val="21"/>
                <w:szCs w:val="21"/>
              </w:rPr>
              <w:t>责任主体</w:t>
            </w:r>
          </w:p>
        </w:tc>
        <w:tc>
          <w:tcPr>
            <w:tcW w:w="121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Style w:val="6"/>
                <w:rFonts w:hint="eastAsia" w:ascii="黑体" w:hAnsi="宋体" w:eastAsia="黑体" w:cs="黑体"/>
                <w:b/>
                <w:bCs/>
                <w:i w:val="0"/>
                <w:iCs w:val="0"/>
                <w:caps w:val="0"/>
                <w:color w:val="000000"/>
                <w:spacing w:val="0"/>
                <w:sz w:val="21"/>
                <w:szCs w:val="21"/>
              </w:rPr>
              <w:t>时限要求</w:t>
            </w:r>
          </w:p>
        </w:tc>
        <w:tc>
          <w:tcPr>
            <w:tcW w:w="121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Style w:val="6"/>
                <w:rFonts w:hint="eastAsia" w:ascii="黑体" w:hAnsi="宋体" w:eastAsia="黑体" w:cs="黑体"/>
                <w:b/>
                <w:bCs/>
                <w:i w:val="0"/>
                <w:iCs w:val="0"/>
                <w:caps w:val="0"/>
                <w:color w:val="000000"/>
                <w:spacing w:val="0"/>
                <w:sz w:val="21"/>
                <w:szCs w:val="21"/>
              </w:rPr>
              <w:t>公开方式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26" w:hRule="atLeast"/>
        </w:trPr>
        <w:tc>
          <w:tcPr>
            <w:tcW w:w="70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ascii="仿宋_GB2312" w:hAnsi="微软雅黑" w:eastAsia="仿宋_GB2312" w:cs="仿宋_GB2312"/>
                <w:i w:val="0"/>
                <w:iCs w:val="0"/>
                <w:caps w:val="0"/>
                <w:color w:val="000000"/>
                <w:spacing w:val="0"/>
                <w:sz w:val="21"/>
                <w:szCs w:val="21"/>
              </w:rPr>
              <w:t>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职能</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部门职能配置及内设机构</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机构职能信息（包括单位地址、邮政编码、联系方式，单位职责，领导姓名及分工，内设机构职责及联系方式，所属单位名称及联系方式等信息）</w:t>
            </w:r>
          </w:p>
        </w:tc>
        <w:tc>
          <w:tcPr>
            <w:tcW w:w="2940" w:type="dxa"/>
            <w:tcBorders>
              <w:top w:val="nil"/>
              <w:left w:val="nil"/>
              <w:bottom w:val="outset" w:color="auto"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县综合行政执法局办公室</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信息形成或变更之日起20个工作日内，并动态调整</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ascii="仿宋_GB2312" w:hAnsi="仿宋_GB2312" w:eastAsia="仿宋_GB2312" w:cs="仿宋_GB2312"/>
                <w:i w:val="0"/>
                <w:iCs w:val="0"/>
                <w:caps w:val="0"/>
                <w:color w:val="000000"/>
                <w:spacing w:val="0"/>
                <w:sz w:val="21"/>
                <w:szCs w:val="21"/>
              </w:rPr>
              <w:t>“高青县人民政府”网站公开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5" w:hRule="atLeast"/>
        </w:trPr>
        <w:tc>
          <w:tcPr>
            <w:tcW w:w="7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部门职责任务清单</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主要职责、科室职责、科室工作任务及工作流程、岗位名称、岗位责任等信息</w:t>
            </w:r>
          </w:p>
        </w:tc>
        <w:tc>
          <w:tcPr>
            <w:tcW w:w="2940" w:type="dxa"/>
            <w:tcBorders>
              <w:top w:val="outset" w:color="auto" w:sz="8" w:space="0"/>
              <w:left w:val="nil"/>
              <w:bottom w:val="outset" w:color="auto"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县综合行政执法局办公室</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55" w:hRule="atLeast"/>
        </w:trPr>
        <w:tc>
          <w:tcPr>
            <w:tcW w:w="7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部门职责边界清单</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事项名称、相关部门、责任分工、相关依据等信息</w:t>
            </w:r>
          </w:p>
        </w:tc>
        <w:tc>
          <w:tcPr>
            <w:tcW w:w="2940" w:type="dxa"/>
            <w:tcBorders>
              <w:top w:val="outset" w:color="auto"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县综合行政执法局办公室</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5" w:hRule="atLeast"/>
        </w:trPr>
        <w:tc>
          <w:tcPr>
            <w:tcW w:w="7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权责清单</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Calibri" w:hAnsi="Calibri" w:eastAsia="微软雅黑" w:cs="Calibri"/>
                <w:i w:val="0"/>
                <w:iCs w:val="0"/>
                <w:caps w:val="0"/>
                <w:color w:val="000000"/>
                <w:spacing w:val="0"/>
                <w:sz w:val="19"/>
                <w:szCs w:val="19"/>
              </w:rPr>
              <w:t> </w:t>
            </w:r>
          </w:p>
        </w:tc>
        <w:tc>
          <w:tcPr>
            <w:tcW w:w="7905"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链接山东政务服务网相关栏目</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55" w:hRule="atLeast"/>
        </w:trPr>
        <w:tc>
          <w:tcPr>
            <w:tcW w:w="70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政策文件</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部门文件</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按照“谁制作，谁公开”的原则公开本单位文件</w:t>
            </w:r>
          </w:p>
        </w:tc>
        <w:tc>
          <w:tcPr>
            <w:tcW w:w="294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县综合行政执法局办公室，两个以上单位共同制作的信息，由牵头制作的单位负责公开</w:t>
            </w:r>
          </w:p>
        </w:tc>
        <w:tc>
          <w:tcPr>
            <w:tcW w:w="121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w:t>
            </w:r>
          </w:p>
        </w:tc>
        <w:tc>
          <w:tcPr>
            <w:tcW w:w="121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0" w:hRule="atLeast"/>
        </w:trPr>
        <w:tc>
          <w:tcPr>
            <w:tcW w:w="7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政策解读</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文稿解读、领导干部解读</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文件解读材料，需与对应政策文件双向关联</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文件起草科室</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文件发布后3个工作日内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5" w:hRule="atLeast"/>
        </w:trPr>
        <w:tc>
          <w:tcPr>
            <w:tcW w:w="7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人事任免</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重要人事任免信息</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hAnsi="微软雅黑" w:eastAsia="仿宋_GB2312" w:cs="仿宋_GB2312"/>
                <w:i w:val="0"/>
                <w:iCs w:val="0"/>
                <w:caps w:val="0"/>
                <w:color w:val="000000"/>
                <w:spacing w:val="0"/>
                <w:sz w:val="21"/>
                <w:szCs w:val="21"/>
              </w:rPr>
              <w:t>县综合行政执法局组织人事科</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5" w:hRule="atLeast"/>
        </w:trPr>
        <w:tc>
          <w:tcPr>
            <w:tcW w:w="7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政策库</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针对当前社会热点、惠民政策等，整合梳理成的政策汇编、政策库等</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县综合行政执法局办公室</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55" w:hRule="atLeast"/>
        </w:trPr>
        <w:tc>
          <w:tcPr>
            <w:tcW w:w="7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公示公告</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公示公告信息</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县综合行政执法局办公室</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40" w:hRule="atLeast"/>
        </w:trPr>
        <w:tc>
          <w:tcPr>
            <w:tcW w:w="70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 </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专项计划</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市政、园林等涉及空间利用的专项规划脱密后的文本及图纸等</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县综合行政执法局城市管理中心</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信息形成或变更之日起20个工作日内及时公开</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5" w:hRule="atLeast"/>
        </w:trPr>
        <w:tc>
          <w:tcPr>
            <w:tcW w:w="7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历史计划</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专项规划、空间规划、区域规划等</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推动本地区、本系统历史规划（计划）的归集整理和主动公开工作</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县综合行政执法局办公室</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2021年9月底之前</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40" w:hRule="atLeast"/>
        </w:trPr>
        <w:tc>
          <w:tcPr>
            <w:tcW w:w="7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工作计划及完成情况</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县综合行政执法局年度工作计划、其他计划及完成情况等相关信息</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县综合行政执法局办公室</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信息形成或变更之日起20个工作日内及时公开</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81" w:hRule="atLeast"/>
        </w:trPr>
        <w:tc>
          <w:tcPr>
            <w:tcW w:w="70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textAlignment w:val="center"/>
              <w:rPr>
                <w:sz w:val="24"/>
                <w:szCs w:val="24"/>
              </w:rPr>
            </w:pPr>
            <w:r>
              <w:rPr>
                <w:rFonts w:hint="eastAsia" w:ascii="仿宋_GB2312" w:hAnsi="微软雅黑" w:eastAsia="仿宋_GB2312" w:cs="仿宋_GB2312"/>
                <w:i w:val="0"/>
                <w:iCs w:val="0"/>
                <w:caps w:val="0"/>
                <w:color w:val="000000"/>
                <w:spacing w:val="0"/>
                <w:sz w:val="21"/>
                <w:szCs w:val="21"/>
              </w:rPr>
              <w:t>政府会议</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议定事项解读</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各类办公会议召开情况（包括会议名称、时间、地点、与会人员、主持人，会议研究的事项，若有利益相关方、公众、专家、媒体等列席会议应一并公开）制定会议方案时，应提出是否邀请有关方面人员列席会议、是否公开以及公开方式的意见，随会议方案一同报批。</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县综合行政执法局办公室</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信息形成或变更之日起20个工作日内及时公开</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81" w:hRule="atLeast"/>
        </w:trPr>
        <w:tc>
          <w:tcPr>
            <w:tcW w:w="705" w:type="dxa"/>
            <w:vMerge w:val="restart"/>
            <w:tcBorders>
              <w:top w:val="nil"/>
              <w:left w:val="single" w:color="000000" w:sz="8" w:space="0"/>
              <w:bottom w:val="outset" w:color="auto"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双随机一公开</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年度抽查工作计划</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本部门年度抽查工作计划（内容涵盖一般检查事项和重点检查事项，明确工作任务和参与部门）</w:t>
            </w:r>
          </w:p>
        </w:tc>
        <w:tc>
          <w:tcPr>
            <w:tcW w:w="2940" w:type="dxa"/>
            <w:vMerge w:val="restart"/>
            <w:tcBorders>
              <w:top w:val="nil"/>
              <w:left w:val="nil"/>
              <w:bottom w:val="outset" w:color="auto"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县综合行政执法局法制</w:t>
            </w:r>
            <w:r>
              <w:rPr>
                <w:rFonts w:hint="eastAsia" w:ascii="宋体" w:hAnsi="宋体" w:eastAsia="宋体" w:cs="宋体"/>
                <w:i w:val="0"/>
                <w:iCs w:val="0"/>
                <w:caps w:val="0"/>
                <w:color w:val="000000"/>
                <w:spacing w:val="0"/>
                <w:sz w:val="19"/>
                <w:szCs w:val="19"/>
              </w:rPr>
              <w:t>科</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每年1月底前公开本年度抽查计划</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15" w:hRule="atLeast"/>
        </w:trPr>
        <w:tc>
          <w:tcPr>
            <w:tcW w:w="705" w:type="dxa"/>
            <w:vMerge w:val="continue"/>
            <w:tcBorders>
              <w:top w:val="nil"/>
              <w:left w:val="single" w:color="000000" w:sz="8" w:space="0"/>
              <w:bottom w:val="outset" w:color="auto"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随机抽查事项清单</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本部门随机抽查事项清单（明确抽查依据、对象、内容、方式、比例和频次等）</w:t>
            </w:r>
          </w:p>
        </w:tc>
        <w:tc>
          <w:tcPr>
            <w:tcW w:w="2940" w:type="dxa"/>
            <w:vMerge w:val="continue"/>
            <w:tcBorders>
              <w:top w:val="nil"/>
              <w:left w:val="nil"/>
              <w:bottom w:val="outset" w:color="auto"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35" w:hRule="atLeast"/>
        </w:trPr>
        <w:tc>
          <w:tcPr>
            <w:tcW w:w="705" w:type="dxa"/>
            <w:vMerge w:val="continue"/>
            <w:tcBorders>
              <w:top w:val="nil"/>
              <w:left w:val="single" w:color="000000" w:sz="8" w:space="0"/>
              <w:bottom w:val="outset" w:color="auto"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抽查情况和查处结果</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通过“双随机”方式抽查情况和结果</w:t>
            </w:r>
          </w:p>
        </w:tc>
        <w:tc>
          <w:tcPr>
            <w:tcW w:w="2940" w:type="dxa"/>
            <w:vMerge w:val="continue"/>
            <w:tcBorders>
              <w:top w:val="nil"/>
              <w:left w:val="nil"/>
              <w:bottom w:val="outset" w:color="auto"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35" w:hRule="atLeast"/>
        </w:trPr>
        <w:tc>
          <w:tcPr>
            <w:tcW w:w="705" w:type="dxa"/>
            <w:vMerge w:val="continue"/>
            <w:tcBorders>
              <w:top w:val="nil"/>
              <w:left w:val="single" w:color="000000" w:sz="8" w:space="0"/>
              <w:bottom w:val="outset" w:color="auto"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工作指引</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“双随机一公开”抽查工作规范</w:t>
            </w:r>
          </w:p>
        </w:tc>
        <w:tc>
          <w:tcPr>
            <w:tcW w:w="2940" w:type="dxa"/>
            <w:vMerge w:val="continue"/>
            <w:tcBorders>
              <w:top w:val="nil"/>
              <w:left w:val="nil"/>
              <w:bottom w:val="outset" w:color="auto"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 信息形成或变更之日起20个工作日内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55" w:hRule="atLeast"/>
        </w:trPr>
        <w:tc>
          <w:tcPr>
            <w:tcW w:w="70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Fonts w:hint="eastAsia" w:ascii="仿宋_GB2312" w:hAnsi="微软雅黑" w:eastAsia="仿宋_GB2312" w:cs="仿宋_GB2312"/>
                <w:i w:val="0"/>
                <w:iCs w:val="0"/>
                <w:caps w:val="0"/>
                <w:color w:val="000000"/>
                <w:spacing w:val="0"/>
                <w:sz w:val="21"/>
                <w:szCs w:val="21"/>
              </w:rPr>
              <w:t>法治政府建设</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Calibri" w:hAnsi="Calibri" w:eastAsia="微软雅黑" w:cs="Calibri"/>
                <w:i w:val="0"/>
                <w:iCs w:val="0"/>
                <w:caps w:val="0"/>
                <w:color w:val="000000"/>
                <w:spacing w:val="0"/>
                <w:sz w:val="19"/>
                <w:szCs w:val="19"/>
              </w:rPr>
              <w:t> </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法治建设报告相关信息、县级法治建设动态相关信息</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县综合行政执法局法制科</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36" w:hRule="atLeast"/>
        </w:trPr>
        <w:tc>
          <w:tcPr>
            <w:tcW w:w="705" w:type="dxa"/>
            <w:vMerge w:val="restart"/>
            <w:tcBorders>
              <w:top w:val="nil"/>
              <w:left w:val="single" w:color="000000" w:sz="8" w:space="0"/>
              <w:bottom w:val="outset" w:color="auto"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服务</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证明事项目录清单</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8"/>
                <w:sz w:val="21"/>
                <w:szCs w:val="21"/>
              </w:rPr>
              <w:t> </w:t>
            </w:r>
          </w:p>
        </w:tc>
        <w:tc>
          <w:tcPr>
            <w:tcW w:w="7905"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链接山东政务服务网办事服务栏目</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36" w:hRule="atLeast"/>
        </w:trPr>
        <w:tc>
          <w:tcPr>
            <w:tcW w:w="705" w:type="dxa"/>
            <w:vMerge w:val="continue"/>
            <w:tcBorders>
              <w:top w:val="nil"/>
              <w:left w:val="single" w:color="000000" w:sz="8" w:space="0"/>
              <w:bottom w:val="outset" w:color="auto"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政务服务事项目录和办事指南</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8"/>
                <w:sz w:val="21"/>
                <w:szCs w:val="21"/>
              </w:rPr>
              <w:t> </w:t>
            </w:r>
          </w:p>
        </w:tc>
        <w:tc>
          <w:tcPr>
            <w:tcW w:w="7905"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链接山东政务服务网办事服务栏目</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36" w:hRule="atLeast"/>
        </w:trPr>
        <w:tc>
          <w:tcPr>
            <w:tcW w:w="70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textAlignment w:val="center"/>
              <w:rPr>
                <w:sz w:val="24"/>
                <w:szCs w:val="24"/>
              </w:rPr>
            </w:pPr>
            <w:r>
              <w:rPr>
                <w:rFonts w:hint="eastAsia" w:ascii="仿宋_GB2312" w:hAnsi="微软雅黑" w:eastAsia="仿宋_GB2312" w:cs="仿宋_GB2312"/>
                <w:i w:val="0"/>
                <w:iCs w:val="0"/>
                <w:caps w:val="0"/>
                <w:color w:val="000000"/>
                <w:spacing w:val="0"/>
                <w:sz w:val="21"/>
                <w:szCs w:val="21"/>
              </w:rPr>
              <w:t>优化营商环境</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Calibri" w:hAnsi="Calibri" w:eastAsia="微软雅黑" w:cs="Calibri"/>
                <w:i w:val="0"/>
                <w:iCs w:val="0"/>
                <w:caps w:val="0"/>
                <w:color w:val="000000"/>
                <w:spacing w:val="0"/>
                <w:sz w:val="19"/>
                <w:szCs w:val="19"/>
              </w:rPr>
              <w:t> </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8"/>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优化营商环境工作动态、制定的配套措施</w:t>
            </w:r>
          </w:p>
        </w:tc>
        <w:tc>
          <w:tcPr>
            <w:tcW w:w="294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县综合行政执法局法制科</w:t>
            </w:r>
          </w:p>
        </w:tc>
        <w:tc>
          <w:tcPr>
            <w:tcW w:w="121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信息形成或变更之日起20个工作日之内</w:t>
            </w:r>
          </w:p>
        </w:tc>
        <w:tc>
          <w:tcPr>
            <w:tcW w:w="121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81" w:hRule="atLeast"/>
        </w:trPr>
        <w:tc>
          <w:tcPr>
            <w:tcW w:w="70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textAlignment w:val="center"/>
              <w:rPr>
                <w:sz w:val="24"/>
                <w:szCs w:val="24"/>
              </w:rPr>
            </w:pPr>
            <w:r>
              <w:rPr>
                <w:rFonts w:hint="eastAsia" w:ascii="仿宋_GB2312" w:hAnsi="微软雅黑" w:eastAsia="仿宋_GB2312" w:cs="仿宋_GB2312"/>
                <w:i w:val="0"/>
                <w:iCs w:val="0"/>
                <w:caps w:val="0"/>
                <w:color w:val="000000"/>
                <w:spacing w:val="0"/>
                <w:sz w:val="21"/>
                <w:szCs w:val="21"/>
              </w:rPr>
              <w:t>重要部署执行公开</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政府工作报告任务执行情况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Calibri" w:hAnsi="Calibri" w:eastAsia="微软雅黑" w:cs="Calibri"/>
                <w:i w:val="0"/>
                <w:iCs w:val="0"/>
                <w:caps w:val="0"/>
                <w:color w:val="000000"/>
                <w:spacing w:val="0"/>
                <w:sz w:val="19"/>
                <w:szCs w:val="19"/>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政府工作报告重点任务相应季度目标、采取的具体措施、进展情况、责任单位、监督方式等信息</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县综合行政执法局办公室</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每季度首月公开上一季度工作进展情况</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36" w:hRule="atLeast"/>
        </w:trPr>
        <w:tc>
          <w:tcPr>
            <w:tcW w:w="7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年度重点工作完成情况</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落实县政府相关工作要求，公示重大项目工作进展情况</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县综合行政执法局办公室</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每季度首月公开上一季度工作进展情况</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36" w:hRule="atLeast"/>
        </w:trPr>
        <w:tc>
          <w:tcPr>
            <w:tcW w:w="7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民生实事工作进展情况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 </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Calibri" w:hAnsi="Calibri" w:eastAsia="微软雅黑" w:cs="Calibri"/>
                <w:i w:val="0"/>
                <w:iCs w:val="0"/>
                <w:caps w:val="0"/>
                <w:color w:val="000000"/>
                <w:spacing w:val="0"/>
                <w:sz w:val="19"/>
                <w:szCs w:val="19"/>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落实县政府相关工作要求，丰富群众文体生活项目工作进展情况</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县综合行政执法局办公室</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每季度首月公开上一季度工作进展情况</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40" w:hRule="atLeast"/>
        </w:trPr>
        <w:tc>
          <w:tcPr>
            <w:tcW w:w="7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督查发现问题及整改落实</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督查发现问题及整改落实情况</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县综合行政执法局督查科、被发现问题部门单位</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信息形成或变更之日起20个工作日之内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16" w:hRule="atLeast"/>
        </w:trPr>
        <w:tc>
          <w:tcPr>
            <w:tcW w:w="70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建议提案办理</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人大代表建议</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人大代表建议和政协委员提案办理复文（除人大代表和政协委员姓名、联系方式和抄送范围等外，原则上应全文公开。对部分涉及面较宽、情况较复杂的建议和提案办理复文，可采用摘要公开的方式，公开办理复文的主要内容）标题名称统一为：对《建议/提案主要内容》的答复（xx次会议第xx号建议/提案），如“对《关于加大农业政策扶持力度，及时兑付项目资金，促进农业产业快速发展的提案》的答复县政协十四届四次会议第38号提案”</w:t>
            </w:r>
          </w:p>
        </w:tc>
        <w:tc>
          <w:tcPr>
            <w:tcW w:w="2940" w:type="dxa"/>
            <w:vMerge w:val="restart"/>
            <w:tcBorders>
              <w:top w:val="nil"/>
              <w:left w:val="nil"/>
              <w:bottom w:val="outset" w:color="auto"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县综合行政执法局法制科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Calibri" w:hAnsi="Calibri" w:eastAsia="微软雅黑" w:cs="Calibri"/>
                <w:i w:val="0"/>
                <w:iCs w:val="0"/>
                <w:caps w:val="0"/>
                <w:color w:val="000000"/>
                <w:spacing w:val="0"/>
                <w:sz w:val="19"/>
                <w:szCs w:val="19"/>
              </w:rPr>
              <w:t> </w:t>
            </w:r>
          </w:p>
        </w:tc>
        <w:tc>
          <w:tcPr>
            <w:tcW w:w="121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答复建议和提案提出人1个月内</w:t>
            </w:r>
          </w:p>
        </w:tc>
        <w:tc>
          <w:tcPr>
            <w:tcW w:w="121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16" w:hRule="atLeast"/>
        </w:trPr>
        <w:tc>
          <w:tcPr>
            <w:tcW w:w="7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政协委员提案</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2940" w:type="dxa"/>
            <w:vMerge w:val="continue"/>
            <w:tcBorders>
              <w:top w:val="nil"/>
              <w:left w:val="nil"/>
              <w:bottom w:val="outset" w:color="auto"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21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21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11" w:hRule="atLeast"/>
        </w:trPr>
        <w:tc>
          <w:tcPr>
            <w:tcW w:w="7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建议提案办理总体情况</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人大代表建议和政协委员提案办理总体情况</w:t>
            </w:r>
          </w:p>
        </w:tc>
        <w:tc>
          <w:tcPr>
            <w:tcW w:w="2940" w:type="dxa"/>
            <w:vMerge w:val="continue"/>
            <w:tcBorders>
              <w:top w:val="nil"/>
              <w:left w:val="nil"/>
              <w:bottom w:val="outset" w:color="auto"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6"/>
                <w:sz w:val="21"/>
                <w:szCs w:val="21"/>
              </w:rPr>
              <w:t>所办理人大代表建议和政协委员提案全部答复后20个工作日内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仿宋_GB2312" w:hAnsi="仿宋_GB2312" w:eastAsia="仿宋_GB2312" w:cs="仿宋_GB2312"/>
                <w:i w:val="0"/>
                <w:iCs w:val="0"/>
                <w:caps w:val="0"/>
                <w:color w:val="000000"/>
                <w:spacing w:val="-6"/>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11" w:hRule="atLeast"/>
        </w:trPr>
        <w:tc>
          <w:tcPr>
            <w:tcW w:w="70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信息</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财政预决算</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部门乡镇预算公开、部门乡镇决算公开、三公经费预决算</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财政预算和决算信息，需在政府网站和财政预决算平台进行“双公开”</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县综合行政执法局财务科</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自财政部门批复其预决算及相关信息形成或变更之日起20日内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75" w:hRule="atLeast"/>
        </w:trPr>
        <w:tc>
          <w:tcPr>
            <w:tcW w:w="70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行政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bookmarkStart w:id="0" w:name="_GoBack"/>
            <w:bookmarkEnd w:id="0"/>
            <w:r>
              <w:rPr>
                <w:rFonts w:hint="eastAsia" w:ascii="仿宋_GB2312" w:hAnsi="微软雅黑" w:eastAsia="仿宋_GB2312" w:cs="仿宋_GB2312"/>
                <w:i w:val="0"/>
                <w:iCs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行政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执法</w:t>
            </w:r>
          </w:p>
        </w:tc>
        <w:tc>
          <w:tcPr>
            <w:tcW w:w="1065" w:type="dxa"/>
            <w:vMerge w:val="restart"/>
            <w:tcBorders>
              <w:top w:val="nil"/>
              <w:left w:val="nil"/>
              <w:bottom w:val="outset" w:color="auto"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事前公开</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行政执法事项清单</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本部门单位行政执法事项清单（包括行政执</w:t>
            </w:r>
            <w:r>
              <w:rPr>
                <w:rFonts w:hint="eastAsia" w:ascii="仿宋_GB2312" w:hAnsi="微软雅黑" w:eastAsia="仿宋_GB2312" w:cs="仿宋_GB2312"/>
                <w:i w:val="0"/>
                <w:iCs w:val="0"/>
                <w:caps w:val="0"/>
                <w:color w:val="000000"/>
                <w:spacing w:val="-6"/>
                <w:sz w:val="21"/>
                <w:szCs w:val="21"/>
              </w:rPr>
              <w:t>法类别、事项名称、执法依据、裁量基准、执法机构以及有关时限、救济渠道等信息），标题统一为：高青县综合行政执法局行政执法事项清单</w:t>
            </w:r>
          </w:p>
        </w:tc>
        <w:tc>
          <w:tcPr>
            <w:tcW w:w="2940" w:type="dxa"/>
            <w:tcBorders>
              <w:top w:val="nil"/>
              <w:left w:val="nil"/>
              <w:bottom w:val="outset" w:color="auto"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县综合行政执法局法制科</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信息形成或变更之日起20个工作日之内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75" w:hRule="atLeast"/>
        </w:trPr>
        <w:tc>
          <w:tcPr>
            <w:tcW w:w="7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vMerge w:val="continue"/>
            <w:tcBorders>
              <w:top w:val="nil"/>
              <w:left w:val="nil"/>
              <w:bottom w:val="outset" w:color="auto"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行政执法人员资格清单</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行政执法人员资格信息（包括执法人员的姓名、单位、职务、证件编号、执法类别、执法区域等信息），标题统一为：</w:t>
            </w:r>
            <w:r>
              <w:rPr>
                <w:rFonts w:hint="eastAsia" w:ascii="仿宋_GB2312" w:hAnsi="微软雅黑" w:eastAsia="仿宋_GB2312" w:cs="仿宋_GB2312"/>
                <w:i w:val="0"/>
                <w:iCs w:val="0"/>
                <w:caps w:val="0"/>
                <w:color w:val="000000"/>
                <w:spacing w:val="-6"/>
                <w:sz w:val="21"/>
                <w:szCs w:val="21"/>
              </w:rPr>
              <w:t>高青县综合行政执法局</w:t>
            </w:r>
            <w:r>
              <w:rPr>
                <w:rFonts w:hint="eastAsia" w:ascii="仿宋_GB2312" w:hAnsi="微软雅黑" w:eastAsia="仿宋_GB2312" w:cs="仿宋_GB2312"/>
                <w:i w:val="0"/>
                <w:iCs w:val="0"/>
                <w:caps w:val="0"/>
                <w:color w:val="000000"/>
                <w:spacing w:val="0"/>
                <w:sz w:val="21"/>
                <w:szCs w:val="21"/>
              </w:rPr>
              <w:t>行政执法人员资格清单</w:t>
            </w:r>
          </w:p>
        </w:tc>
        <w:tc>
          <w:tcPr>
            <w:tcW w:w="2940" w:type="dxa"/>
            <w:tcBorders>
              <w:top w:val="outset" w:color="auto"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hAnsi="微软雅黑" w:eastAsia="仿宋_GB2312" w:cs="仿宋_GB2312"/>
                <w:i w:val="0"/>
                <w:iCs w:val="0"/>
                <w:caps w:val="0"/>
                <w:color w:val="000000"/>
                <w:spacing w:val="0"/>
                <w:sz w:val="21"/>
                <w:szCs w:val="21"/>
              </w:rPr>
              <w:t>县综合行政执法局法制科</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信息形成或变更之日起20个工作日之内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31" w:hRule="atLeast"/>
        </w:trPr>
        <w:tc>
          <w:tcPr>
            <w:tcW w:w="7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vMerge w:val="continue"/>
            <w:tcBorders>
              <w:top w:val="nil"/>
              <w:left w:val="nil"/>
              <w:bottom w:val="outset" w:color="auto"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行政执法服务指南</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行政执法服务指南（行政执法事项办理场所、联系方式、示范文本、办事流程以及需要提交的材料目录、办理时限、监督方式、救济渠道等信息），标题统一为：</w:t>
            </w:r>
            <w:r>
              <w:rPr>
                <w:rFonts w:hint="eastAsia" w:ascii="仿宋_GB2312" w:hAnsi="微软雅黑" w:eastAsia="仿宋_GB2312" w:cs="仿宋_GB2312"/>
                <w:i w:val="0"/>
                <w:iCs w:val="0"/>
                <w:caps w:val="0"/>
                <w:color w:val="000000"/>
                <w:spacing w:val="-6"/>
                <w:sz w:val="21"/>
                <w:szCs w:val="21"/>
              </w:rPr>
              <w:t>高青县综合行政执法局</w:t>
            </w:r>
            <w:r>
              <w:rPr>
                <w:rFonts w:hint="eastAsia" w:ascii="仿宋_GB2312" w:hAnsi="微软雅黑" w:eastAsia="仿宋_GB2312" w:cs="仿宋_GB2312"/>
                <w:i w:val="0"/>
                <w:iCs w:val="0"/>
                <w:caps w:val="0"/>
                <w:color w:val="000000"/>
                <w:spacing w:val="0"/>
                <w:sz w:val="21"/>
                <w:szCs w:val="21"/>
              </w:rPr>
              <w:t>行政执法服务指南</w:t>
            </w:r>
          </w:p>
        </w:tc>
        <w:tc>
          <w:tcPr>
            <w:tcW w:w="2940" w:type="dxa"/>
            <w:tcBorders>
              <w:top w:val="nil"/>
              <w:left w:val="nil"/>
              <w:bottom w:val="outset" w:color="auto"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hAnsi="微软雅黑" w:eastAsia="仿宋_GB2312" w:cs="仿宋_GB2312"/>
                <w:i w:val="0"/>
                <w:iCs w:val="0"/>
                <w:caps w:val="0"/>
                <w:color w:val="000000"/>
                <w:spacing w:val="0"/>
                <w:sz w:val="21"/>
                <w:szCs w:val="21"/>
              </w:rPr>
              <w:t>县综合行政执法局法制科</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信息形成或变更之日起20个工作日之内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20" w:hRule="atLeast"/>
        </w:trPr>
        <w:tc>
          <w:tcPr>
            <w:tcW w:w="7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vMerge w:val="continue"/>
            <w:tcBorders>
              <w:top w:val="nil"/>
              <w:left w:val="nil"/>
              <w:bottom w:val="outset" w:color="auto"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行政执法流程图</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行政执法流程图（包括行政执法活动的步骤和环节等信息），标题统一为：</w:t>
            </w:r>
            <w:r>
              <w:rPr>
                <w:rFonts w:hint="eastAsia" w:ascii="仿宋_GB2312" w:hAnsi="微软雅黑" w:eastAsia="仿宋_GB2312" w:cs="仿宋_GB2312"/>
                <w:i w:val="0"/>
                <w:iCs w:val="0"/>
                <w:caps w:val="0"/>
                <w:color w:val="000000"/>
                <w:spacing w:val="-6"/>
                <w:sz w:val="21"/>
                <w:szCs w:val="21"/>
              </w:rPr>
              <w:t>高青县综合行政执法局</w:t>
            </w:r>
            <w:r>
              <w:rPr>
                <w:rFonts w:hint="eastAsia" w:ascii="仿宋_GB2312" w:hAnsi="微软雅黑" w:eastAsia="仿宋_GB2312" w:cs="仿宋_GB2312"/>
                <w:i w:val="0"/>
                <w:iCs w:val="0"/>
                <w:caps w:val="0"/>
                <w:color w:val="000000"/>
                <w:spacing w:val="0"/>
                <w:sz w:val="21"/>
                <w:szCs w:val="21"/>
              </w:rPr>
              <w:t>行政执法流程图</w:t>
            </w:r>
          </w:p>
        </w:tc>
        <w:tc>
          <w:tcPr>
            <w:tcW w:w="2940" w:type="dxa"/>
            <w:tcBorders>
              <w:top w:val="outset" w:color="auto"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hAnsi="微软雅黑" w:eastAsia="仿宋_GB2312" w:cs="仿宋_GB2312"/>
                <w:i w:val="0"/>
                <w:iCs w:val="0"/>
                <w:caps w:val="0"/>
                <w:color w:val="000000"/>
                <w:spacing w:val="0"/>
                <w:sz w:val="21"/>
                <w:szCs w:val="21"/>
              </w:rPr>
              <w:t>县综合行政执法局法制科</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信息形成或变更之日起20个工作日之内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71" w:hRule="atLeast"/>
        </w:trPr>
        <w:tc>
          <w:tcPr>
            <w:tcW w:w="7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vMerge w:val="restart"/>
            <w:tcBorders>
              <w:top w:val="nil"/>
              <w:left w:val="nil"/>
              <w:bottom w:val="outset" w:color="auto"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事后公开</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执法结果</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行政执法决定信息（包括执法机关、执法对象、执法类别、执法结论等信息）</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县综合行政执法局法制科</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在执法决定作出之日起20个工作日内，行政许可、行政处罚的执法决定信息在执法决定作出之日起7个工作日内公开，法律、行政法规另有规定的从其规定。</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top"/>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0" w:hRule="atLeast"/>
        </w:trPr>
        <w:tc>
          <w:tcPr>
            <w:tcW w:w="7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vMerge w:val="continue"/>
            <w:tcBorders>
              <w:top w:val="nil"/>
              <w:left w:val="nil"/>
              <w:bottom w:val="outset" w:color="auto"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执法统计年报</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本部门、单位上年度行政执法总体情况有关数据</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hAnsi="微软雅黑" w:eastAsia="仿宋_GB2312" w:cs="仿宋_GB2312"/>
                <w:i w:val="0"/>
                <w:iCs w:val="0"/>
                <w:caps w:val="0"/>
                <w:color w:val="000000"/>
                <w:spacing w:val="0"/>
                <w:sz w:val="21"/>
                <w:szCs w:val="21"/>
              </w:rPr>
              <w:t>县综合行政执法局法制科</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每年1月31前公开</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textAlignment w:val="center"/>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40" w:hRule="atLeast"/>
        </w:trPr>
        <w:tc>
          <w:tcPr>
            <w:tcW w:w="705" w:type="dxa"/>
            <w:vMerge w:val="restart"/>
            <w:tcBorders>
              <w:top w:val="nil"/>
              <w:left w:val="single" w:color="000000" w:sz="8" w:space="0"/>
              <w:bottom w:val="outset" w:color="auto"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textAlignment w:val="center"/>
              <w:rPr>
                <w:sz w:val="24"/>
                <w:szCs w:val="24"/>
              </w:rPr>
            </w:pPr>
            <w:r>
              <w:rPr>
                <w:rFonts w:hint="eastAsia" w:ascii="仿宋_GB2312" w:hAnsi="微软雅黑" w:eastAsia="仿宋_GB2312" w:cs="仿宋_GB2312"/>
                <w:i w:val="0"/>
                <w:iCs w:val="0"/>
                <w:caps w:val="0"/>
                <w:color w:val="000000"/>
                <w:spacing w:val="0"/>
                <w:sz w:val="21"/>
                <w:szCs w:val="21"/>
              </w:rPr>
              <w:t>应急管理</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应急预案</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宋体" w:hAnsi="宋体" w:eastAsia="宋体" w:cs="宋体"/>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突发事件总体应急预案、事故灾害类预案、社会安全事件类预案、自然灾害类预案和公共卫生事件类预案等。对确需保密的应急预案，按有关规定执行。</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县综合行政执法局执法监察科</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5" w:hRule="atLeast"/>
        </w:trPr>
        <w:tc>
          <w:tcPr>
            <w:tcW w:w="705" w:type="dxa"/>
            <w:vMerge w:val="continue"/>
            <w:tcBorders>
              <w:top w:val="nil"/>
              <w:left w:val="single" w:color="000000" w:sz="8" w:space="0"/>
              <w:bottom w:val="outset" w:color="auto"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预警信息</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宋体" w:hAnsi="宋体" w:eastAsia="宋体" w:cs="宋体"/>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安全生产类、社会安全事件类、自然灾害类和公共卫生事件类灾害预警信息等</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县综合行政执法局执法监察科</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5" w:hRule="atLeast"/>
        </w:trPr>
        <w:tc>
          <w:tcPr>
            <w:tcW w:w="705" w:type="dxa"/>
            <w:vMerge w:val="continue"/>
            <w:tcBorders>
              <w:top w:val="nil"/>
              <w:left w:val="single" w:color="000000" w:sz="8" w:space="0"/>
              <w:bottom w:val="outset" w:color="auto"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应对情况</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突发事件应对情况</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县综合行政执法局执法监察科</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5" w:hRule="atLeast"/>
        </w:trPr>
        <w:tc>
          <w:tcPr>
            <w:tcW w:w="705" w:type="dxa"/>
            <w:vMerge w:val="restart"/>
            <w:tcBorders>
              <w:top w:val="nil"/>
              <w:left w:val="single" w:color="000000" w:sz="8" w:space="0"/>
              <w:bottom w:val="outset" w:color="auto"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textAlignment w:val="center"/>
              <w:rPr>
                <w:sz w:val="24"/>
                <w:szCs w:val="24"/>
              </w:rPr>
            </w:pPr>
            <w:r>
              <w:rPr>
                <w:rFonts w:hint="eastAsia" w:ascii="仿宋_GB2312" w:hAnsi="微软雅黑" w:eastAsia="仿宋_GB2312" w:cs="仿宋_GB2312"/>
                <w:i w:val="0"/>
                <w:iCs w:val="0"/>
                <w:caps w:val="0"/>
                <w:color w:val="000000"/>
                <w:spacing w:val="0"/>
                <w:sz w:val="21"/>
                <w:szCs w:val="21"/>
              </w:rPr>
              <w:t>政务公开组织管理</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组织领导</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rPr>
                <w:sz w:val="24"/>
                <w:szCs w:val="24"/>
              </w:rPr>
            </w:pPr>
            <w:r>
              <w:rPr>
                <w:rFonts w:hint="eastAsia" w:ascii="仿宋_GB2312" w:hAnsi="微软雅黑" w:eastAsia="仿宋_GB2312" w:cs="仿宋_GB2312"/>
                <w:i w:val="0"/>
                <w:iCs w:val="0"/>
                <w:caps w:val="0"/>
                <w:color w:val="000000"/>
                <w:spacing w:val="0"/>
                <w:sz w:val="21"/>
                <w:szCs w:val="21"/>
              </w:rPr>
              <w:t>政务公开机构设置情况</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仿宋_GB2312" w:hAnsi="微软雅黑" w:eastAsia="仿宋_GB2312" w:cs="仿宋_GB2312"/>
                <w:i w:val="0"/>
                <w:iCs w:val="0"/>
                <w:caps w:val="0"/>
                <w:color w:val="000000"/>
                <w:spacing w:val="0"/>
                <w:sz w:val="21"/>
                <w:szCs w:val="21"/>
              </w:rPr>
              <w:t>县综合行政执法局办公室</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5" w:hRule="atLeast"/>
        </w:trPr>
        <w:tc>
          <w:tcPr>
            <w:tcW w:w="705" w:type="dxa"/>
            <w:vMerge w:val="continue"/>
            <w:tcBorders>
              <w:top w:val="nil"/>
              <w:left w:val="single" w:color="000000" w:sz="8" w:space="0"/>
              <w:bottom w:val="outset" w:color="auto"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业务培训</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仿宋_GB2312" w:hAnsi="微软雅黑" w:eastAsia="仿宋_GB2312" w:cs="仿宋_GB2312"/>
                <w:i w:val="0"/>
                <w:iCs w:val="0"/>
                <w:caps w:val="0"/>
                <w:color w:val="000000"/>
                <w:spacing w:val="0"/>
                <w:sz w:val="21"/>
                <w:szCs w:val="21"/>
              </w:rPr>
              <w:t>政务公开业务培训会议和计划</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仿宋_GB2312" w:hAnsi="微软雅黑" w:eastAsia="仿宋_GB2312" w:cs="仿宋_GB2312"/>
                <w:i w:val="0"/>
                <w:iCs w:val="0"/>
                <w:caps w:val="0"/>
                <w:color w:val="000000"/>
                <w:spacing w:val="0"/>
                <w:sz w:val="21"/>
                <w:szCs w:val="21"/>
              </w:rPr>
              <w:t>县综合行政执法局办公室</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5" w:hRule="atLeast"/>
        </w:trPr>
        <w:tc>
          <w:tcPr>
            <w:tcW w:w="705" w:type="dxa"/>
            <w:vMerge w:val="continue"/>
            <w:tcBorders>
              <w:top w:val="nil"/>
              <w:left w:val="single" w:color="000000" w:sz="8" w:space="0"/>
              <w:bottom w:val="outset" w:color="auto"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工作推进</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仿宋_GB2312" w:hAnsi="微软雅黑" w:eastAsia="仿宋_GB2312" w:cs="仿宋_GB2312"/>
                <w:i w:val="0"/>
                <w:iCs w:val="0"/>
                <w:caps w:val="0"/>
                <w:color w:val="000000"/>
                <w:spacing w:val="0"/>
                <w:sz w:val="21"/>
                <w:szCs w:val="21"/>
              </w:rPr>
              <w:t>政务公开工作实施方案、工作安排等信息</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仿宋_GB2312" w:hAnsi="微软雅黑" w:eastAsia="仿宋_GB2312" w:cs="仿宋_GB2312"/>
                <w:i w:val="0"/>
                <w:iCs w:val="0"/>
                <w:caps w:val="0"/>
                <w:color w:val="000000"/>
                <w:spacing w:val="0"/>
                <w:sz w:val="21"/>
                <w:szCs w:val="21"/>
              </w:rPr>
              <w:t>县综合行政执法局办公室</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00" w:hRule="atLeast"/>
        </w:trPr>
        <w:tc>
          <w:tcPr>
            <w:tcW w:w="70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hAnsi="微软雅黑" w:eastAsia="仿宋_GB2312" w:cs="仿宋_GB2312"/>
                <w:i w:val="0"/>
                <w:iCs w:val="0"/>
                <w:caps w:val="0"/>
                <w:color w:val="000000"/>
                <w:spacing w:val="0"/>
                <w:sz w:val="21"/>
                <w:szCs w:val="21"/>
              </w:rPr>
              <w:t>政府信息公开指南</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县直部门信息公开指南</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宋体" w:hAnsi="宋体" w:eastAsia="宋体" w:cs="宋体"/>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政府信息公开指南，内容包括主动公开政府信息情况（说明主动公开政府信息的分类和编排体系；说明主动公开政府信息的获取方式（包括公开形式、公开时限等）、依申请公开政府信息情况（说明提出申请的方式（即依申请公开受理渠道说明）；说明申请处理的情况并公开本单位处理政府信息公开申请流程图；说明依申请公开的收费标准；说明政府信息公开申请受理机构的名称、办公地址、办公时间、联系电话、传真号码、互联网联系方式等）、政府信息公开工作机构信息（说明政府信息公开工作机构的名称、办公地址、办公时间、联系电话、传真号码、互联网联系方式等信息）、监督与救济渠道（说明监督与救济渠道信息，包括监督与救济渠道的机构名称、电话、传真、邮箱、办公地址、邮政编码、接待时间等信息）并提供政府信息公开申请表下载</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县综合行政执法局办公室</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信息形成或变更之日起20个工作日内，并动态调整</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40" w:hRule="atLeast"/>
        </w:trPr>
        <w:tc>
          <w:tcPr>
            <w:tcW w:w="70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24"/>
                <w:szCs w:val="24"/>
              </w:rPr>
            </w:pPr>
            <w:r>
              <w:rPr>
                <w:rFonts w:hint="eastAsia" w:ascii="仿宋_GB2312" w:hAnsi="微软雅黑" w:eastAsia="仿宋_GB2312" w:cs="仿宋_GB2312"/>
                <w:i w:val="0"/>
                <w:iCs w:val="0"/>
                <w:caps w:val="0"/>
                <w:color w:val="000000"/>
                <w:spacing w:val="0"/>
                <w:sz w:val="21"/>
                <w:szCs w:val="21"/>
              </w:rPr>
              <w:t>政府信息公开制度</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 </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政府信息公开方面的地方性法规、自治条例、单行条例、规章以及国务院办公厅政府信息与政务公开办公室发布的法规解释性文件</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县综合行政执法局办公室</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信息形成或变更之日起20个工作日之内</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26" w:hRule="atLeast"/>
        </w:trPr>
        <w:tc>
          <w:tcPr>
            <w:tcW w:w="70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24"/>
                <w:szCs w:val="24"/>
              </w:rPr>
            </w:pPr>
            <w:r>
              <w:rPr>
                <w:rFonts w:hint="eastAsia" w:ascii="仿宋_GB2312" w:hAnsi="微软雅黑" w:eastAsia="仿宋_GB2312" w:cs="仿宋_GB2312"/>
                <w:i w:val="0"/>
                <w:iCs w:val="0"/>
                <w:caps w:val="0"/>
                <w:color w:val="000000"/>
                <w:spacing w:val="0"/>
                <w:sz w:val="21"/>
                <w:szCs w:val="21"/>
              </w:rPr>
              <w:t>主动公开基本目录</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hAnsi="微软雅黑" w:eastAsia="仿宋_GB2312" w:cs="仿宋_GB2312"/>
                <w:i w:val="0"/>
                <w:iCs w:val="0"/>
                <w:caps w:val="0"/>
                <w:color w:val="000000"/>
                <w:spacing w:val="0"/>
                <w:sz w:val="21"/>
                <w:szCs w:val="21"/>
              </w:rPr>
              <w:t>县直部门主动公开基本目录</w:t>
            </w:r>
          </w:p>
        </w:tc>
        <w:tc>
          <w:tcPr>
            <w:tcW w:w="16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宋体" w:hAnsi="宋体" w:eastAsia="宋体" w:cs="宋体"/>
                <w:i w:val="0"/>
                <w:iCs w:val="0"/>
                <w:caps w:val="0"/>
                <w:color w:val="000000"/>
                <w:spacing w:val="0"/>
                <w:sz w:val="21"/>
                <w:szCs w:val="21"/>
              </w:rPr>
              <w:t> </w:t>
            </w:r>
          </w:p>
        </w:tc>
        <w:tc>
          <w:tcPr>
            <w:tcW w:w="37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政府信息主动公开基本目录，包括公开指标、维护内容及要求、责任主体、时限要求及方式等信息</w:t>
            </w:r>
          </w:p>
        </w:tc>
        <w:tc>
          <w:tcPr>
            <w:tcW w:w="29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hAnsi="微软雅黑" w:eastAsia="仿宋_GB2312" w:cs="仿宋_GB2312"/>
                <w:i w:val="0"/>
                <w:iCs w:val="0"/>
                <w:caps w:val="0"/>
                <w:color w:val="000000"/>
                <w:spacing w:val="0"/>
                <w:sz w:val="21"/>
                <w:szCs w:val="21"/>
              </w:rPr>
              <w:t>县综合行政执法局办公室</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信息形成或变更之日起20个工作日内，并动态调整</w:t>
            </w:r>
          </w:p>
        </w:tc>
        <w:tc>
          <w:tcPr>
            <w:tcW w:w="12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70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24"/>
                <w:szCs w:val="24"/>
              </w:rPr>
            </w:pPr>
            <w:r>
              <w:rPr>
                <w:rFonts w:hint="eastAsia" w:ascii="仿宋_GB2312" w:hAnsi="微软雅黑" w:eastAsia="仿宋_GB2312" w:cs="仿宋_GB2312"/>
                <w:i w:val="0"/>
                <w:iCs w:val="0"/>
                <w:caps w:val="0"/>
                <w:color w:val="000000"/>
                <w:spacing w:val="0"/>
                <w:sz w:val="21"/>
                <w:szCs w:val="21"/>
              </w:rPr>
              <w:t>政府信息公开</w:t>
            </w:r>
            <w:r>
              <w:rPr>
                <w:rFonts w:hint="eastAsia" w:ascii="仿宋_GB2312" w:hAnsi="微软雅黑" w:eastAsia="仿宋_GB2312" w:cs="仿宋_GB2312"/>
                <w:i w:val="0"/>
                <w:iCs w:val="0"/>
                <w:caps w:val="0"/>
                <w:color w:val="000000"/>
                <w:spacing w:val="0"/>
                <w:sz w:val="21"/>
                <w:szCs w:val="21"/>
              </w:rPr>
              <w:br w:type="textWrapping"/>
            </w:r>
            <w:r>
              <w:rPr>
                <w:rFonts w:hint="eastAsia" w:ascii="仿宋_GB2312" w:hAnsi="微软雅黑" w:eastAsia="仿宋_GB2312" w:cs="仿宋_GB2312"/>
                <w:i w:val="0"/>
                <w:iCs w:val="0"/>
                <w:caps w:val="0"/>
                <w:color w:val="000000"/>
                <w:spacing w:val="0"/>
                <w:sz w:val="21"/>
                <w:szCs w:val="21"/>
              </w:rPr>
              <w:t>年度报告</w:t>
            </w:r>
          </w:p>
        </w:tc>
        <w:tc>
          <w:tcPr>
            <w:tcW w:w="10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工作部门信息公开年度报告</w:t>
            </w:r>
          </w:p>
        </w:tc>
        <w:tc>
          <w:tcPr>
            <w:tcW w:w="163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宋体" w:hAnsi="宋体" w:eastAsia="宋体" w:cs="宋体"/>
                <w:i w:val="0"/>
                <w:iCs w:val="0"/>
                <w:caps w:val="0"/>
                <w:color w:val="000000"/>
                <w:spacing w:val="0"/>
                <w:sz w:val="21"/>
                <w:szCs w:val="21"/>
              </w:rPr>
              <w:t> </w:t>
            </w:r>
          </w:p>
        </w:tc>
        <w:tc>
          <w:tcPr>
            <w:tcW w:w="375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政府信息公开年度报告（年度报告包括1.《政府信息公开条例》第20条规定的法定主动公开内容公开情况；2.年度依申请公开情况；3.年度政府信息管理情况；4.年度政府信息公开平台、机构建设和人员情况；5.工作考核、社会评议和责任追究结果情况等监督保障内容；6.人大代表政协委员建议提案办理结果公开情况；7.主动公开政府信息情况；8.因政府信息公开工作被申请行政复议、提起行政诉讼情况；9.存在的主要问题及改进情况），统计数据要准确无误并在年度报告中对主动公开政府信息情况相关数据、收到和处理政府信息公开申请情况相关数据进行分析，采用电子书、结构化展示、有声朗读等多种形式对年度报告进行展示，图文并茂，增强年度的可读性并提供年度报告下载</w:t>
            </w:r>
          </w:p>
        </w:tc>
        <w:tc>
          <w:tcPr>
            <w:tcW w:w="294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县综合行政执法局办公室</w:t>
            </w:r>
          </w:p>
        </w:tc>
        <w:tc>
          <w:tcPr>
            <w:tcW w:w="121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eastAsia" w:ascii="仿宋_GB2312" w:hAnsi="微软雅黑" w:eastAsia="仿宋_GB2312" w:cs="仿宋_GB2312"/>
                <w:i w:val="0"/>
                <w:iCs w:val="0"/>
                <w:caps w:val="0"/>
                <w:color w:val="000000"/>
                <w:spacing w:val="0"/>
                <w:sz w:val="21"/>
                <w:szCs w:val="21"/>
              </w:rPr>
              <w:t>每年1月31日前公开本单位上年度政府信息公开年报</w:t>
            </w:r>
          </w:p>
        </w:tc>
        <w:tc>
          <w:tcPr>
            <w:tcW w:w="121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ascii="仿宋_GB2312" w:hAnsi="仿宋_GB2312" w:eastAsia="仿宋_GB2312" w:cs="仿宋_GB2312"/>
                <w:i w:val="0"/>
                <w:iCs w:val="0"/>
                <w:caps w:val="0"/>
                <w:color w:val="000000"/>
                <w:spacing w:val="0"/>
                <w:sz w:val="21"/>
                <w:szCs w:val="21"/>
              </w:rPr>
              <w:t>“高青县人民政府”网站公开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70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6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375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294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21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21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r>
    </w:tbl>
    <w:p/>
    <w:sectPr>
      <w:pgSz w:w="16838" w:h="11906" w:orient="landscape"/>
      <w:pgMar w:top="1587" w:right="1701" w:bottom="147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5NjgwNjNiY2JlMzNkMjdjNGY3ZDBjMjBlNjE3YzMifQ=="/>
  </w:docVars>
  <w:rsids>
    <w:rsidRoot w:val="03AE22EF"/>
    <w:rsid w:val="00330DF2"/>
    <w:rsid w:val="03AE2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2024-03-01T05:57:00Z</dcterms:created>
  <dc:creator>Administrator</dc:creator>
  <cp:lastModifiedBy>Administrator</cp:lastModifiedBy>
  <dcterms:modified xsi:type="dcterms:W3CDTF">2024-03-01T06:03:40Z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9A2D97F7A13549919FA292A34B16A250_11</vt:lpwstr>
  </property>
</Properties>
</file>