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w:t>
      </w:r>
      <w:r>
        <w:rPr>
          <w:rFonts w:hint="eastAsia" w:asciiTheme="majorEastAsia" w:hAnsiTheme="majorEastAsia" w:eastAsiaTheme="majorEastAsia"/>
          <w:b/>
          <w:sz w:val="36"/>
          <w:szCs w:val="36"/>
          <w:lang w:eastAsia="zh-CN"/>
        </w:rPr>
        <w:t>综合行政执法</w:t>
      </w:r>
      <w:r>
        <w:rPr>
          <w:rFonts w:hint="eastAsia" w:asciiTheme="majorEastAsia" w:hAnsiTheme="majorEastAsia" w:eastAsiaTheme="majorEastAsia"/>
          <w:b/>
          <w:sz w:val="36"/>
          <w:szCs w:val="36"/>
        </w:rPr>
        <w:t>局</w:t>
      </w:r>
    </w:p>
    <w:p>
      <w:pPr>
        <w:spacing w:line="56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综合行政执法</w:t>
      </w:r>
      <w:r>
        <w:rPr>
          <w:rFonts w:hint="eastAsia" w:ascii="仿宋_GB2312" w:eastAsia="仿宋_GB2312"/>
          <w:sz w:val="32"/>
          <w:szCs w:val="32"/>
        </w:rPr>
        <w:t>局办公室综合本单位政府信息公开工作情况编制。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w:t>
      </w:r>
      <w:r>
        <w:rPr>
          <w:rFonts w:hint="eastAsia" w:ascii="仿宋_GB2312" w:eastAsia="仿宋_GB2312"/>
          <w:sz w:val="32"/>
          <w:szCs w:val="32"/>
          <w:lang w:eastAsia="zh-CN"/>
        </w:rPr>
        <w:t>综合行政执法局</w:t>
      </w:r>
      <w:r>
        <w:rPr>
          <w:rFonts w:hint="eastAsia" w:ascii="仿宋_GB2312" w:eastAsia="仿宋_GB2312"/>
          <w:sz w:val="32"/>
          <w:szCs w:val="32"/>
        </w:rPr>
        <w:t>办公室联系（地址：高青县城</w:t>
      </w:r>
      <w:r>
        <w:rPr>
          <w:rFonts w:hint="eastAsia" w:ascii="仿宋_GB2312" w:eastAsia="仿宋_GB2312"/>
          <w:sz w:val="32"/>
          <w:szCs w:val="32"/>
          <w:lang w:eastAsia="zh-CN"/>
        </w:rPr>
        <w:t>青苑</w:t>
      </w:r>
      <w:r>
        <w:rPr>
          <w:rFonts w:hint="eastAsia" w:ascii="仿宋_GB2312" w:eastAsia="仿宋_GB2312"/>
          <w:sz w:val="32"/>
          <w:szCs w:val="32"/>
        </w:rPr>
        <w:t>路</w:t>
      </w:r>
      <w:r>
        <w:rPr>
          <w:rFonts w:hint="eastAsia" w:ascii="仿宋_GB2312" w:eastAsia="仿宋_GB2312"/>
          <w:sz w:val="32"/>
          <w:szCs w:val="32"/>
          <w:lang w:val="en-US" w:eastAsia="zh-CN"/>
        </w:rPr>
        <w:t>39</w:t>
      </w:r>
      <w:r>
        <w:rPr>
          <w:rFonts w:hint="eastAsia" w:ascii="仿宋_GB2312" w:eastAsia="仿宋_GB2312"/>
          <w:sz w:val="32"/>
          <w:szCs w:val="32"/>
        </w:rPr>
        <w:t>号；邮编：</w:t>
      </w:r>
      <w:r>
        <w:rPr>
          <w:rFonts w:hint="eastAsia" w:ascii="仿宋_GB2312" w:eastAsia="仿宋_GB2312"/>
          <w:sz w:val="32"/>
          <w:szCs w:val="32"/>
          <w:lang w:val="en-US" w:eastAsia="zh-CN"/>
        </w:rPr>
        <w:t>256300</w:t>
      </w:r>
      <w:r>
        <w:rPr>
          <w:rFonts w:hint="eastAsia" w:ascii="仿宋_GB2312" w:eastAsia="仿宋_GB2312"/>
          <w:sz w:val="32"/>
          <w:szCs w:val="32"/>
        </w:rPr>
        <w:t>；电话：0533-</w:t>
      </w:r>
      <w:r>
        <w:rPr>
          <w:rFonts w:hint="eastAsia" w:ascii="仿宋_GB2312" w:eastAsia="仿宋_GB2312"/>
          <w:sz w:val="32"/>
          <w:szCs w:val="32"/>
          <w:lang w:val="en-US" w:eastAsia="zh-CN"/>
        </w:rPr>
        <w:t>6983603</w:t>
      </w:r>
      <w:r>
        <w:rPr>
          <w:rFonts w:hint="eastAsia" w:ascii="仿宋_GB2312" w:eastAsia="仿宋_GB2312"/>
          <w:sz w:val="32"/>
          <w:szCs w:val="32"/>
        </w:rPr>
        <w:t>；传真：0533-</w:t>
      </w:r>
      <w:r>
        <w:rPr>
          <w:rFonts w:hint="eastAsia" w:ascii="仿宋_GB2312" w:eastAsia="仿宋_GB2312"/>
          <w:sz w:val="32"/>
          <w:szCs w:val="32"/>
          <w:lang w:val="en-US" w:eastAsia="zh-CN"/>
        </w:rPr>
        <w:t>6983603</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根据全县政府信息公开工作统一部署和要求，我局将</w:t>
      </w:r>
      <w:r>
        <w:rPr>
          <w:rFonts w:hint="eastAsia" w:ascii="仿宋_GB2312" w:eastAsia="仿宋_GB2312"/>
          <w:sz w:val="32"/>
          <w:szCs w:val="32"/>
        </w:rPr>
        <w:t>政府信息公</w:t>
      </w:r>
      <w:r>
        <w:rPr>
          <w:rFonts w:hint="eastAsia" w:ascii="仿宋_GB2312" w:eastAsia="仿宋_GB2312"/>
          <w:sz w:val="32"/>
          <w:szCs w:val="32"/>
          <w:lang w:val="en-US" w:eastAsia="zh-CN"/>
        </w:rPr>
        <w:t>开工作列入重要工作日程，成立政府信息公开工作领导小组，落实专人具体负责政务信息报送和协调工作，确保日常政府信息公开的正常运转。建立和完善了有关工作制度：一</w:t>
      </w:r>
      <w:r>
        <w:rPr>
          <w:rFonts w:hint="eastAsia" w:ascii="仿宋_GB2312" w:eastAsia="仿宋_GB2312"/>
          <w:sz w:val="32"/>
          <w:szCs w:val="32"/>
        </w:rPr>
        <w:t>是领导责任制，建立起主要领导负总责、分管领导主抓、各有关部门配合的工作机制；二是建立政务公开工作的</w:t>
      </w:r>
      <w:r>
        <w:rPr>
          <w:rFonts w:hint="eastAsia" w:ascii="仿宋_GB2312" w:eastAsia="仿宋_GB2312"/>
          <w:sz w:val="32"/>
          <w:szCs w:val="32"/>
          <w:lang w:eastAsia="zh-CN"/>
        </w:rPr>
        <w:t>长效机制，做到“五个落实”即落实分管领导、落实专门机构、落实专职人员、落实专项经费、落实有关工作措施和制度，形成政务工作有人管、管得牢的长效机制。</w:t>
      </w:r>
    </w:p>
    <w:p>
      <w:pPr>
        <w:spacing w:line="240" w:lineRule="auto"/>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仿宋_GB2312"/>
          <w:i w:val="0"/>
          <w:caps w:val="0"/>
          <w:color w:val="000000"/>
          <w:spacing w:val="0"/>
          <w:sz w:val="32"/>
          <w:szCs w:val="32"/>
          <w:shd w:val="clear" w:fill="FFFFFF"/>
          <w:lang w:eastAsia="zh-CN"/>
        </w:rPr>
        <w:drawing>
          <wp:inline distT="0" distB="0" distL="114300" distR="114300">
            <wp:extent cx="5267960" cy="3057525"/>
            <wp:effectExtent l="0" t="0" r="8890" b="9525"/>
            <wp:docPr id="3" name="图片 3" descr="体制机制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制机制公开"/>
                    <pic:cNvPicPr>
                      <a:picLocks noChangeAspect="1"/>
                    </pic:cNvPicPr>
                  </pic:nvPicPr>
                  <pic:blipFill>
                    <a:blip r:embed="rId4"/>
                    <a:stretch>
                      <a:fillRect/>
                    </a:stretch>
                  </pic:blipFill>
                  <pic:spPr>
                    <a:xfrm>
                      <a:off x="0" y="0"/>
                      <a:ext cx="5267960" cy="3057525"/>
                    </a:xfrm>
                    <a:prstGeom prst="rect">
                      <a:avLst/>
                    </a:prstGeom>
                  </pic:spPr>
                </pic:pic>
              </a:graphicData>
            </a:graphic>
          </wp:inline>
        </w:drawing>
      </w:r>
    </w:p>
    <w:p>
      <w:pPr>
        <w:spacing w:line="560" w:lineRule="exact"/>
        <w:ind w:firstLine="640" w:firstLineChars="200"/>
        <w:rPr>
          <w:rFonts w:hint="eastAsia" w:ascii="楷体_GB2312" w:hAnsi="楷体_GB2312" w:eastAsia="楷体_GB2312" w:cs="楷体_GB2312"/>
          <w:color w:val="333333"/>
          <w:kern w:val="0"/>
          <w:sz w:val="32"/>
          <w:szCs w:val="32"/>
          <w:shd w:val="clear" w:fill="FFFFFF"/>
          <w:lang w:val="en-US" w:eastAsia="zh-CN" w:bidi="ar-SA"/>
        </w:rPr>
      </w:pPr>
      <w:r>
        <w:rPr>
          <w:rFonts w:hint="eastAsia" w:ascii="楷体_GB2312" w:hAnsi="楷体_GB2312" w:eastAsia="楷体_GB2312" w:cs="楷体_GB2312"/>
          <w:i w:val="0"/>
          <w:caps w:val="0"/>
          <w:color w:val="000000"/>
          <w:spacing w:val="0"/>
          <w:sz w:val="32"/>
          <w:szCs w:val="32"/>
          <w:shd w:val="clear" w:fill="FFFFFF"/>
        </w:rPr>
        <w:t>（二）主动公开</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1.工作动态公开情况：2020年公开政府工作信息共计180余条，其中通过“高青人民政府网”发布通知公告、政府动态等工作信息130余条；通过县综合行政执法局官方公众微信平台编制、发布城市管理工作周报52期。</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2.重点领域政府信息公开情况：通过政务公开平台公布行政执法公示22条，“双随机、</w:t>
      </w:r>
      <w:bookmarkStart w:id="0" w:name="_GoBack"/>
      <w:bookmarkEnd w:id="0"/>
      <w:r>
        <w:rPr>
          <w:rFonts w:hint="eastAsia" w:ascii="仿宋_GB2312" w:eastAsia="仿宋_GB2312"/>
          <w:sz w:val="32"/>
          <w:szCs w:val="32"/>
          <w:lang w:val="en-US" w:eastAsia="zh-CN"/>
        </w:rPr>
        <w:t>一公开”信息10条，社会信用体系信息12条，公示行政处罚处理决定158个，行政强制处理决定5个。</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3.建议提案办理结果公开情况：</w:t>
      </w:r>
      <w:r>
        <w:rPr>
          <w:rFonts w:hint="eastAsia" w:ascii="仿宋_GB2312" w:eastAsia="仿宋_GB2312"/>
          <w:sz w:val="32"/>
          <w:szCs w:val="32"/>
          <w:lang w:eastAsia="zh-CN"/>
        </w:rPr>
        <w:t>2020年高青县综合行政执法局收到7件人大代表建议，答复7件；收到19件政协委员提案，答复19件，满意率100%，办理情况均通过高青县政务网站进行公开。</w:t>
      </w:r>
    </w:p>
    <w:p>
      <w:pPr>
        <w:spacing w:line="240" w:lineRule="auto"/>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仿宋_GB2312"/>
          <w:i w:val="0"/>
          <w:caps w:val="0"/>
          <w:color w:val="000000"/>
          <w:spacing w:val="0"/>
          <w:sz w:val="32"/>
          <w:szCs w:val="32"/>
          <w:shd w:val="clear" w:fill="FFFFFF"/>
          <w:lang w:eastAsia="zh-CN"/>
        </w:rPr>
        <w:drawing>
          <wp:inline distT="0" distB="0" distL="114300" distR="114300">
            <wp:extent cx="5266690" cy="2153285"/>
            <wp:effectExtent l="0" t="0" r="10160" b="18415"/>
            <wp:docPr id="2" name="图片 2" descr="政府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信息公开"/>
                    <pic:cNvPicPr>
                      <a:picLocks noChangeAspect="1"/>
                    </pic:cNvPicPr>
                  </pic:nvPicPr>
                  <pic:blipFill>
                    <a:blip r:embed="rId5"/>
                    <a:stretch>
                      <a:fillRect/>
                    </a:stretch>
                  </pic:blipFill>
                  <pic:spPr>
                    <a:xfrm>
                      <a:off x="0" y="0"/>
                      <a:ext cx="5266690" cy="2153285"/>
                    </a:xfrm>
                    <a:prstGeom prst="rect">
                      <a:avLst/>
                    </a:prstGeom>
                  </pic:spPr>
                </pic:pic>
              </a:graphicData>
            </a:graphic>
          </wp:inline>
        </w:drawing>
      </w:r>
    </w:p>
    <w:p>
      <w:pPr>
        <w:spacing w:line="240" w:lineRule="auto"/>
        <w:rPr>
          <w:rFonts w:hint="eastAsia" w:ascii="仿宋_GB2312" w:hAnsi="宋体" w:eastAsia="仿宋_GB2312" w:cs="仿宋_GB2312"/>
          <w:i w:val="0"/>
          <w:caps w:val="0"/>
          <w:color w:val="000000"/>
          <w:spacing w:val="0"/>
          <w:sz w:val="32"/>
          <w:szCs w:val="32"/>
          <w:shd w:val="clear" w:fill="FFFFFF"/>
          <w:lang w:val="en-US" w:eastAsia="zh-CN"/>
        </w:rPr>
      </w:pPr>
      <w:r>
        <w:rPr>
          <w:rFonts w:hint="eastAsia" w:ascii="仿宋_GB2312" w:hAnsi="宋体" w:eastAsia="仿宋_GB2312" w:cs="仿宋_GB2312"/>
          <w:i w:val="0"/>
          <w:caps w:val="0"/>
          <w:color w:val="000000"/>
          <w:spacing w:val="0"/>
          <w:sz w:val="32"/>
          <w:szCs w:val="32"/>
          <w:shd w:val="clear" w:fill="FFFFFF"/>
          <w:lang w:val="en-US" w:eastAsia="zh-CN"/>
        </w:rPr>
        <w:drawing>
          <wp:inline distT="0" distB="0" distL="114300" distR="114300">
            <wp:extent cx="5269865" cy="3236595"/>
            <wp:effectExtent l="0" t="0" r="6985" b="1905"/>
            <wp:docPr id="1" name="图片 1" descr="建议提案办理结果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议提案办理结果公开"/>
                    <pic:cNvPicPr>
                      <a:picLocks noChangeAspect="1"/>
                    </pic:cNvPicPr>
                  </pic:nvPicPr>
                  <pic:blipFill>
                    <a:blip r:embed="rId6"/>
                    <a:stretch>
                      <a:fillRect/>
                    </a:stretch>
                  </pic:blipFill>
                  <pic:spPr>
                    <a:xfrm>
                      <a:off x="0" y="0"/>
                      <a:ext cx="5269865" cy="3236595"/>
                    </a:xfrm>
                    <a:prstGeom prst="rect">
                      <a:avLst/>
                    </a:prstGeom>
                  </pic:spPr>
                </pic:pic>
              </a:graphicData>
            </a:graphic>
          </wp:inline>
        </w:drawing>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w:t>
      </w:r>
      <w:r>
        <w:rPr>
          <w:rFonts w:hint="eastAsia" w:ascii="仿宋_GB2312" w:eastAsia="仿宋_GB2312"/>
          <w:sz w:val="32"/>
          <w:szCs w:val="32"/>
          <w:lang w:val="en-US" w:eastAsia="zh-CN"/>
        </w:rPr>
        <w:t>0</w:t>
      </w:r>
      <w:r>
        <w:rPr>
          <w:rFonts w:hint="eastAsia" w:ascii="仿宋_GB2312" w:eastAsia="仿宋_GB2312"/>
          <w:sz w:val="32"/>
          <w:szCs w:val="32"/>
        </w:rPr>
        <w:t>件，按时办结数</w:t>
      </w:r>
      <w:r>
        <w:rPr>
          <w:rFonts w:hint="eastAsia" w:ascii="仿宋_GB2312" w:eastAsia="仿宋_GB2312"/>
          <w:sz w:val="32"/>
          <w:szCs w:val="32"/>
          <w:lang w:val="en-US" w:eastAsia="zh-CN"/>
        </w:rPr>
        <w:t>0</w:t>
      </w:r>
      <w:r>
        <w:rPr>
          <w:rFonts w:hint="eastAsia" w:ascii="仿宋_GB2312" w:eastAsia="仿宋_GB2312"/>
          <w:sz w:val="32"/>
          <w:szCs w:val="32"/>
        </w:rPr>
        <w:t>件。在办结的申请中：</w:t>
      </w:r>
      <w:r>
        <w:rPr>
          <w:rFonts w:ascii="仿宋_GB2312" w:eastAsia="仿宋_GB2312"/>
          <w:sz w:val="32"/>
          <w:szCs w:val="32"/>
        </w:rPr>
        <w:t>予以公开</w:t>
      </w:r>
      <w:r>
        <w:rPr>
          <w:rFonts w:hint="eastAsia" w:ascii="仿宋_GB2312" w:eastAsia="仿宋_GB2312"/>
          <w:sz w:val="32"/>
          <w:szCs w:val="32"/>
          <w:lang w:val="en-US" w:eastAsia="zh-CN"/>
        </w:rPr>
        <w:t>0</w:t>
      </w:r>
      <w:r>
        <w:rPr>
          <w:rFonts w:ascii="仿宋_GB2312" w:eastAsia="仿宋_GB2312"/>
          <w:sz w:val="32"/>
          <w:szCs w:val="32"/>
        </w:rPr>
        <w:t>件，部分公开</w:t>
      </w:r>
      <w:r>
        <w:rPr>
          <w:rFonts w:hint="eastAsia" w:ascii="仿宋_GB2312" w:eastAsia="仿宋_GB2312"/>
          <w:sz w:val="32"/>
          <w:szCs w:val="32"/>
          <w:lang w:val="en-US" w:eastAsia="zh-CN"/>
        </w:rPr>
        <w:t>0</w:t>
      </w:r>
      <w:r>
        <w:rPr>
          <w:rFonts w:ascii="仿宋_GB2312" w:eastAsia="仿宋_GB2312"/>
          <w:sz w:val="32"/>
          <w:szCs w:val="32"/>
        </w:rPr>
        <w:t>件，不予公开</w:t>
      </w:r>
      <w:r>
        <w:rPr>
          <w:rFonts w:hint="eastAsia" w:ascii="仿宋_GB2312" w:eastAsia="仿宋_GB2312"/>
          <w:sz w:val="32"/>
          <w:szCs w:val="32"/>
          <w:lang w:val="en-US" w:eastAsia="zh-CN"/>
        </w:rPr>
        <w:t>0</w:t>
      </w:r>
      <w:r>
        <w:rPr>
          <w:rFonts w:ascii="仿宋_GB2312" w:eastAsia="仿宋_GB2312"/>
          <w:sz w:val="32"/>
          <w:szCs w:val="32"/>
        </w:rPr>
        <w:t>件，无法提供</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件，不予处理</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件，其他处理</w:t>
      </w:r>
      <w:r>
        <w:rPr>
          <w:rFonts w:hint="eastAsia" w:ascii="仿宋_GB2312" w:eastAsia="仿宋_GB2312"/>
          <w:sz w:val="32"/>
          <w:szCs w:val="32"/>
          <w:lang w:val="en-US" w:eastAsia="zh-CN"/>
        </w:rPr>
        <w:t>0</w:t>
      </w:r>
      <w:r>
        <w:rPr>
          <w:rFonts w:ascii="仿宋_GB2312" w:eastAsia="仿宋_GB2312"/>
          <w:sz w:val="32"/>
          <w:szCs w:val="32"/>
        </w:rPr>
        <w:t>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2020年，本单位因政府信息公开被申请行政复议</w:t>
      </w:r>
      <w:r>
        <w:rPr>
          <w:rFonts w:hint="eastAsia" w:ascii="仿宋_GB2312" w:eastAsia="仿宋_GB2312"/>
          <w:sz w:val="32"/>
          <w:szCs w:val="32"/>
          <w:lang w:val="en-US" w:eastAsia="zh-CN"/>
        </w:rPr>
        <w:t>0</w:t>
      </w:r>
      <w:r>
        <w:rPr>
          <w:rFonts w:hint="eastAsia" w:ascii="仿宋_GB2312" w:eastAsia="仿宋_GB2312"/>
          <w:sz w:val="32"/>
          <w:szCs w:val="32"/>
        </w:rPr>
        <w:t>件。其中，未经复议直接起诉</w:t>
      </w:r>
      <w:r>
        <w:rPr>
          <w:rFonts w:hint="eastAsia" w:ascii="仿宋_GB2312" w:eastAsia="仿宋_GB2312"/>
          <w:sz w:val="32"/>
          <w:szCs w:val="32"/>
          <w:lang w:val="en-US" w:eastAsia="zh-CN"/>
        </w:rPr>
        <w:t>0</w:t>
      </w:r>
      <w:r>
        <w:rPr>
          <w:rFonts w:hint="eastAsia" w:ascii="仿宋_GB2312" w:eastAsia="仿宋_GB2312"/>
          <w:sz w:val="32"/>
          <w:szCs w:val="32"/>
        </w:rPr>
        <w:t>件，复议后起诉</w:t>
      </w:r>
      <w:r>
        <w:rPr>
          <w:rFonts w:hint="eastAsia" w:ascii="仿宋_GB2312" w:eastAsia="仿宋_GB2312"/>
          <w:sz w:val="32"/>
          <w:szCs w:val="32"/>
          <w:lang w:val="en-US" w:eastAsia="zh-CN"/>
        </w:rPr>
        <w:t>0</w:t>
      </w:r>
      <w:r>
        <w:rPr>
          <w:rFonts w:hint="eastAsia" w:ascii="仿宋_GB2312" w:eastAsia="仿宋_GB2312"/>
          <w:sz w:val="32"/>
          <w:szCs w:val="32"/>
        </w:rPr>
        <w:t>件。在行政诉讼案件中，结果维持数</w:t>
      </w:r>
      <w:r>
        <w:rPr>
          <w:rFonts w:hint="eastAsia" w:ascii="仿宋_GB2312" w:eastAsia="仿宋_GB2312"/>
          <w:sz w:val="32"/>
          <w:szCs w:val="32"/>
          <w:lang w:val="en-US" w:eastAsia="zh-CN"/>
        </w:rPr>
        <w:t>0</w:t>
      </w:r>
      <w:r>
        <w:rPr>
          <w:rFonts w:hint="eastAsia" w:ascii="仿宋_GB2312" w:eastAsia="仿宋_GB2312"/>
          <w:sz w:val="32"/>
          <w:szCs w:val="32"/>
        </w:rPr>
        <w:t>件，结果纠正数</w:t>
      </w:r>
      <w:r>
        <w:rPr>
          <w:rFonts w:hint="eastAsia" w:ascii="仿宋_GB2312" w:eastAsia="仿宋_GB2312"/>
          <w:sz w:val="32"/>
          <w:szCs w:val="32"/>
          <w:lang w:val="en-US" w:eastAsia="zh-CN"/>
        </w:rPr>
        <w:t>0</w:t>
      </w:r>
      <w:r>
        <w:rPr>
          <w:rFonts w:hint="eastAsia" w:ascii="仿宋_GB2312" w:eastAsia="仿宋_GB2312"/>
          <w:sz w:val="32"/>
          <w:szCs w:val="32"/>
        </w:rPr>
        <w:t>件，尚未审结数</w:t>
      </w:r>
      <w:r>
        <w:rPr>
          <w:rFonts w:hint="eastAsia" w:ascii="仿宋_GB2312" w:eastAsia="仿宋_GB2312"/>
          <w:sz w:val="32"/>
          <w:szCs w:val="32"/>
          <w:lang w:val="en-US" w:eastAsia="zh-CN"/>
        </w:rPr>
        <w:t>0</w:t>
      </w:r>
      <w:r>
        <w:rPr>
          <w:rFonts w:hint="eastAsia" w:ascii="仿宋_GB2312" w:eastAsia="仿宋_GB2312"/>
          <w:sz w:val="32"/>
          <w:szCs w:val="32"/>
        </w:rPr>
        <w:t>件，其他结果数</w:t>
      </w:r>
      <w:r>
        <w:rPr>
          <w:rFonts w:hint="eastAsia" w:ascii="仿宋_GB2312" w:eastAsia="仿宋_GB2312"/>
          <w:sz w:val="32"/>
          <w:szCs w:val="32"/>
          <w:lang w:val="en-US" w:eastAsia="zh-CN"/>
        </w:rPr>
        <w:t>0</w:t>
      </w:r>
      <w:r>
        <w:rPr>
          <w:rFonts w:hint="eastAsia" w:ascii="仿宋_GB2312" w:eastAsia="仿宋_GB2312"/>
          <w:sz w:val="32"/>
          <w:szCs w:val="32"/>
        </w:rPr>
        <w:t>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我局对政府信息严格把关，安全高效推进信息公开。拟定公文时，严格按照要求标明公文的公开类型，应当公开的通过政务公开版块主动公开，不宜主动公开的注明“依申请公开”或“不予公开”字样。</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通过政府信息公开平台及时发布权威政府信息，特别是有关城市管理事务工作的重要会议活动、重要决策部署、重大突发事件及其应对处置情况等方面的信息。二是设立热线电话（0533-6712319），及时答复公众询问，更好地推进民生诉求综合受理平台建设。三是通过高青县综合行政执法局官方微信公众平台及时编发工作简报，宣传报道政务新动态，展示城市管理工作全貌。</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建立健全政府信息主动公开、依申请公开和信息发布保密审查、澄清等工作机制，认真落实政府信息公开工作的考核、评议等监督保障制度，采取以会代训和专题教育等方式，保证培训人员、培训时间和培训质量，做好信息公开宣传培训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8"/>
        <w:tblW w:w="8705" w:type="dxa"/>
        <w:jc w:val="center"/>
        <w:tblLayout w:type="fixed"/>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11</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-11</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277</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248</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+46</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158</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17</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8"/>
        <w:gridCol w:w="707"/>
        <w:gridCol w:w="707"/>
        <w:gridCol w:w="566"/>
        <w:gridCol w:w="707"/>
        <w:gridCol w:w="706"/>
        <w:gridCol w:w="755"/>
        <w:gridCol w:w="659"/>
        <w:gridCol w:w="548"/>
        <w:gridCol w:w="725"/>
        <w:gridCol w:w="699"/>
        <w:gridCol w:w="714"/>
        <w:gridCol w:w="707"/>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36"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2"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8"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6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ascii="Calibri" w:hAnsi="Calibri"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6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65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54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p>
        </w:tc>
        <w:tc>
          <w:tcPr>
            <w:tcW w:w="72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69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r>
              <w:rPr>
                <w:rFonts w:hint="eastAsia" w:ascii="Calibri" w:hAnsi="Calibri" w:eastAsia="宋体" w:cs="Times New Roman"/>
                <w:color w:val="333333"/>
                <w:sz w:val="20"/>
                <w:szCs w:val="20"/>
              </w:rPr>
              <w:t> </w:t>
            </w:r>
          </w:p>
        </w:tc>
        <w:tc>
          <w:tcPr>
            <w:tcW w:w="71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rPr>
              <w:t> </w:t>
            </w:r>
            <w:r>
              <w:rPr>
                <w:rFonts w:hint="eastAsia" w:ascii="Calibri" w:hAnsi="Calibri" w:eastAsia="宋体" w:cs="Times New Roman"/>
                <w:color w:val="333333"/>
                <w:sz w:val="20"/>
                <w:szCs w:val="20"/>
                <w:lang w:val="en-US" w:eastAsia="zh-CN"/>
              </w:rPr>
              <w:t>0</w:t>
            </w:r>
          </w:p>
        </w:tc>
        <w:tc>
          <w:tcPr>
            <w:tcW w:w="416" w:type="dxa"/>
            <w:tcBorders>
              <w:top w:val="single" w:color="auto" w:sz="4" w:space="0"/>
              <w:left w:val="nil"/>
              <w:bottom w:val="single" w:color="auto" w:sz="4" w:space="0"/>
              <w:right w:val="single" w:color="auto" w:sz="4" w:space="0"/>
            </w:tcBorders>
            <w:vAlign w:val="center"/>
          </w:tcPr>
          <w:p>
            <w:pPr>
              <w:widowControl/>
              <w:spacing w:line="480" w:lineRule="auto"/>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一是政务公开渠道仍有限。二是政务公开业务人员认识水平不足，对政策领悟力和理解力不够。</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pStyle w:val="7"/>
        <w:keepNext w:val="0"/>
        <w:keepLines w:val="0"/>
        <w:widowControl/>
        <w:suppressLineNumbers w:val="0"/>
        <w:wordWrap w:val="0"/>
        <w:spacing w:before="0" w:beforeAutospacing="0" w:after="0" w:afterAutospacing="0" w:line="360" w:lineRule="auto"/>
        <w:ind w:right="0" w:firstLine="640" w:firstLineChars="200"/>
        <w:jc w:val="left"/>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2021年，我局将以十九届五中全会精神和习近平总书记重要讲话精神为指导，继续将政务公开列入全局重点工作，大力推进政务公开工作的开展。一方面积极努力拓展公开渠道，与媒体保持高度紧密的联系，争取及时、多元地传达信息，另一方面持续开展政务公开队伍培训，培养政务公开专业人才，全面、扎实、稳定推进政务工作步入新台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640" w:firstLineChars="200"/>
      </w:pPr>
      <w:r>
        <w:rPr>
          <w:rFonts w:hint="eastAsia" w:ascii="仿宋_GB2312"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0E81"/>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7B45C2C"/>
    <w:rsid w:val="096968BF"/>
    <w:rsid w:val="09F55EA4"/>
    <w:rsid w:val="0A671529"/>
    <w:rsid w:val="0B296E0F"/>
    <w:rsid w:val="0DD23211"/>
    <w:rsid w:val="0DE644D7"/>
    <w:rsid w:val="0EA04A0A"/>
    <w:rsid w:val="0FCC3948"/>
    <w:rsid w:val="0FE92D05"/>
    <w:rsid w:val="105766C4"/>
    <w:rsid w:val="12133B2C"/>
    <w:rsid w:val="1580380F"/>
    <w:rsid w:val="184C2A20"/>
    <w:rsid w:val="1A7948B6"/>
    <w:rsid w:val="1B7523D2"/>
    <w:rsid w:val="1BE71972"/>
    <w:rsid w:val="1C2B2DE7"/>
    <w:rsid w:val="1C6D2A20"/>
    <w:rsid w:val="1E8330FE"/>
    <w:rsid w:val="269A6D19"/>
    <w:rsid w:val="2B1B7385"/>
    <w:rsid w:val="2B1C6F51"/>
    <w:rsid w:val="2D94034D"/>
    <w:rsid w:val="2F3B6539"/>
    <w:rsid w:val="2FC10187"/>
    <w:rsid w:val="2FEF3D58"/>
    <w:rsid w:val="345E6C89"/>
    <w:rsid w:val="35006588"/>
    <w:rsid w:val="361453F7"/>
    <w:rsid w:val="366C41AB"/>
    <w:rsid w:val="37280F97"/>
    <w:rsid w:val="38143FF9"/>
    <w:rsid w:val="3A276F92"/>
    <w:rsid w:val="3ECB4867"/>
    <w:rsid w:val="3EF77DEE"/>
    <w:rsid w:val="3F83008C"/>
    <w:rsid w:val="40EA627E"/>
    <w:rsid w:val="426C4672"/>
    <w:rsid w:val="43A64902"/>
    <w:rsid w:val="44A8770D"/>
    <w:rsid w:val="46E43849"/>
    <w:rsid w:val="487D6B4E"/>
    <w:rsid w:val="4970068B"/>
    <w:rsid w:val="4A1813E6"/>
    <w:rsid w:val="4A605E6A"/>
    <w:rsid w:val="4B2D5FE7"/>
    <w:rsid w:val="4EB91E6E"/>
    <w:rsid w:val="507B36C5"/>
    <w:rsid w:val="532D4EB0"/>
    <w:rsid w:val="54410D48"/>
    <w:rsid w:val="55D65C85"/>
    <w:rsid w:val="56D56B60"/>
    <w:rsid w:val="57690D30"/>
    <w:rsid w:val="58C76E1F"/>
    <w:rsid w:val="5C780458"/>
    <w:rsid w:val="5F5657D3"/>
    <w:rsid w:val="614E62BC"/>
    <w:rsid w:val="62941D4E"/>
    <w:rsid w:val="6342499D"/>
    <w:rsid w:val="6424769B"/>
    <w:rsid w:val="6A840002"/>
    <w:rsid w:val="6AFE5BFE"/>
    <w:rsid w:val="6B682DCF"/>
    <w:rsid w:val="6BF3265A"/>
    <w:rsid w:val="6C3100C5"/>
    <w:rsid w:val="6E277E88"/>
    <w:rsid w:val="6F467679"/>
    <w:rsid w:val="6F65183D"/>
    <w:rsid w:val="70FF26F4"/>
    <w:rsid w:val="71496623"/>
    <w:rsid w:val="720146A9"/>
    <w:rsid w:val="725F1A74"/>
    <w:rsid w:val="7282336C"/>
    <w:rsid w:val="72DA0E54"/>
    <w:rsid w:val="72DA66BD"/>
    <w:rsid w:val="78C52CBB"/>
    <w:rsid w:val="7CE66742"/>
    <w:rsid w:val="7D517A9A"/>
    <w:rsid w:val="7D901DD2"/>
    <w:rsid w:val="7E1E4165"/>
    <w:rsid w:val="7EB10F8F"/>
    <w:rsid w:val="7EE1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rPr>
      <w:b/>
      <w:color w:val="FF0000"/>
    </w:r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0"/>
    <w:rPr>
      <w:rFonts w:ascii="Verdana" w:hAnsi="Verdana" w:eastAsia="仿宋_GB2312" w:cs="Verdana"/>
      <w:b/>
      <w:bCs/>
      <w:kern w:val="0"/>
      <w:sz w:val="28"/>
      <w:szCs w:val="28"/>
      <w:lang w:eastAsia="en-US"/>
    </w:rPr>
  </w:style>
  <w:style w:type="character" w:styleId="11">
    <w:name w:val="FollowedHyperlink"/>
    <w:basedOn w:val="9"/>
    <w:autoRedefine/>
    <w:semiHidden/>
    <w:unhideWhenUsed/>
    <w:qFormat/>
    <w:uiPriority w:val="99"/>
    <w:rPr>
      <w:color w:val="333333"/>
      <w:u w:val="none"/>
    </w:rPr>
  </w:style>
  <w:style w:type="character" w:styleId="12">
    <w:name w:val="Hyperlink"/>
    <w:basedOn w:val="9"/>
    <w:autoRedefine/>
    <w:semiHidden/>
    <w:unhideWhenUsed/>
    <w:qFormat/>
    <w:uiPriority w:val="99"/>
    <w:rPr>
      <w:color w:val="333333"/>
      <w:u w:val="none"/>
    </w:rPr>
  </w:style>
  <w:style w:type="character" w:customStyle="1" w:styleId="13">
    <w:name w:val="批注框文本 Char"/>
    <w:basedOn w:val="9"/>
    <w:link w:val="4"/>
    <w:autoRedefine/>
    <w:semiHidden/>
    <w:qFormat/>
    <w:uiPriority w:val="99"/>
    <w:rPr>
      <w:sz w:val="18"/>
      <w:szCs w:val="18"/>
    </w:rPr>
  </w:style>
  <w:style w:type="character" w:customStyle="1" w:styleId="14">
    <w:name w:val="标题 1 Char"/>
    <w:basedOn w:val="9"/>
    <w:link w:val="2"/>
    <w:autoRedefine/>
    <w:qFormat/>
    <w:uiPriority w:val="9"/>
    <w:rPr>
      <w:rFonts w:ascii="宋体" w:hAnsi="宋体" w:eastAsia="宋体" w:cs="宋体"/>
      <w:b/>
      <w:bCs/>
      <w:kern w:val="36"/>
      <w:sz w:val="48"/>
      <w:szCs w:val="48"/>
    </w:rPr>
  </w:style>
  <w:style w:type="character" w:customStyle="1" w:styleId="15">
    <w:name w:val="页眉 Char"/>
    <w:basedOn w:val="9"/>
    <w:link w:val="6"/>
    <w:autoRedefine/>
    <w:qFormat/>
    <w:uiPriority w:val="99"/>
    <w:rPr>
      <w:sz w:val="18"/>
      <w:szCs w:val="18"/>
    </w:rPr>
  </w:style>
  <w:style w:type="character" w:customStyle="1" w:styleId="16">
    <w:name w:val="页脚 Char"/>
    <w:basedOn w:val="9"/>
    <w:link w:val="5"/>
    <w:autoRedefine/>
    <w:qFormat/>
    <w:uiPriority w:val="99"/>
    <w:rPr>
      <w:sz w:val="18"/>
      <w:szCs w:val="18"/>
    </w:rPr>
  </w:style>
  <w:style w:type="character" w:customStyle="1" w:styleId="17">
    <w:name w:val="red"/>
    <w:basedOn w:val="9"/>
    <w:autoRedefine/>
    <w:qFormat/>
    <w:uiPriority w:val="0"/>
    <w:rPr>
      <w:color w:val="E33938"/>
      <w:u w:val="single"/>
    </w:rPr>
  </w:style>
  <w:style w:type="character" w:customStyle="1" w:styleId="18">
    <w:name w:val="red1"/>
    <w:basedOn w:val="9"/>
    <w:autoRedefine/>
    <w:qFormat/>
    <w:uiPriority w:val="0"/>
    <w:rPr>
      <w:color w:val="E1211F"/>
    </w:rPr>
  </w:style>
  <w:style w:type="character" w:customStyle="1" w:styleId="19">
    <w:name w:val="red2"/>
    <w:basedOn w:val="9"/>
    <w:autoRedefine/>
    <w:qFormat/>
    <w:uiPriority w:val="0"/>
    <w:rPr>
      <w:color w:val="E1211F"/>
    </w:rPr>
  </w:style>
  <w:style w:type="character" w:customStyle="1" w:styleId="20">
    <w:name w:val="red3"/>
    <w:basedOn w:val="9"/>
    <w:autoRedefine/>
    <w:qFormat/>
    <w:uiPriority w:val="0"/>
    <w:rPr>
      <w:color w:val="E1211F"/>
      <w:u w:val="single"/>
    </w:rPr>
  </w:style>
  <w:style w:type="character" w:customStyle="1" w:styleId="21">
    <w:name w:val="red4"/>
    <w:basedOn w:val="9"/>
    <w:autoRedefine/>
    <w:qFormat/>
    <w:uiPriority w:val="0"/>
    <w:rPr>
      <w:color w:val="E1211F"/>
    </w:rPr>
  </w:style>
  <w:style w:type="character" w:customStyle="1" w:styleId="22">
    <w:name w:val="red5"/>
    <w:basedOn w:val="9"/>
    <w:autoRedefine/>
    <w:qFormat/>
    <w:uiPriority w:val="0"/>
    <w:rPr>
      <w:color w:val="E1211F"/>
    </w:rPr>
  </w:style>
  <w:style w:type="character" w:customStyle="1" w:styleId="23">
    <w:name w:val="tit12"/>
    <w:basedOn w:val="9"/>
    <w:autoRedefine/>
    <w:qFormat/>
    <w:uiPriority w:val="0"/>
    <w:rPr>
      <w:b/>
      <w:color w:val="333333"/>
      <w:sz w:val="39"/>
      <w:szCs w:val="39"/>
    </w:rPr>
  </w:style>
  <w:style w:type="character" w:customStyle="1" w:styleId="24">
    <w:name w:val="name"/>
    <w:basedOn w:val="9"/>
    <w:autoRedefine/>
    <w:qFormat/>
    <w:uiPriority w:val="0"/>
    <w:rPr>
      <w:color w:val="2760B7"/>
    </w:rPr>
  </w:style>
  <w:style w:type="character" w:customStyle="1" w:styleId="25">
    <w:name w:val="con4"/>
    <w:basedOn w:val="9"/>
    <w:autoRedefine/>
    <w:qFormat/>
    <w:uiPriority w:val="0"/>
  </w:style>
  <w:style w:type="character" w:customStyle="1" w:styleId="26">
    <w:name w:val="tyhl"/>
    <w:basedOn w:val="9"/>
    <w:autoRedefine/>
    <w:qFormat/>
    <w:uiPriority w:val="0"/>
    <w:rPr>
      <w:shd w:val="clear" w:fill="FFFFFF"/>
    </w:rPr>
  </w:style>
  <w:style w:type="character" w:customStyle="1" w:styleId="27">
    <w:name w:val="cur4"/>
    <w:basedOn w:val="9"/>
    <w:qFormat/>
    <w:uiPriority w:val="0"/>
    <w:rPr>
      <w:color w:val="3354A2"/>
    </w:rPr>
  </w:style>
  <w:style w:type="character" w:customStyle="1" w:styleId="28">
    <w:name w:val="hover20"/>
    <w:basedOn w:val="9"/>
    <w:autoRedefine/>
    <w:qFormat/>
    <w:uiPriority w:val="0"/>
    <w:rPr>
      <w:b/>
    </w:rPr>
  </w:style>
  <w:style w:type="character" w:customStyle="1" w:styleId="29">
    <w:name w:val="yj-time"/>
    <w:basedOn w:val="9"/>
    <w:autoRedefine/>
    <w:qFormat/>
    <w:uiPriority w:val="0"/>
    <w:rPr>
      <w:color w:val="AAAAAA"/>
      <w:sz w:val="18"/>
      <w:szCs w:val="18"/>
    </w:rPr>
  </w:style>
  <w:style w:type="character" w:customStyle="1" w:styleId="30">
    <w:name w:val="yj-time1"/>
    <w:basedOn w:val="9"/>
    <w:autoRedefine/>
    <w:qFormat/>
    <w:uiPriority w:val="0"/>
    <w:rPr>
      <w:color w:val="AAAAAA"/>
      <w:sz w:val="18"/>
      <w:szCs w:val="18"/>
    </w:rPr>
  </w:style>
  <w:style w:type="character" w:customStyle="1" w:styleId="31">
    <w:name w:val="yj-blue"/>
    <w:basedOn w:val="9"/>
    <w:autoRedefine/>
    <w:qFormat/>
    <w:uiPriority w:val="0"/>
    <w:rPr>
      <w:b/>
      <w:color w:val="FFFFFF"/>
      <w:sz w:val="21"/>
      <w:szCs w:val="21"/>
      <w:shd w:val="clear" w:fill="1E84CB"/>
    </w:rPr>
  </w:style>
  <w:style w:type="character" w:customStyle="1" w:styleId="32">
    <w:name w:val="w100"/>
    <w:basedOn w:val="9"/>
    <w:autoRedefine/>
    <w:qFormat/>
    <w:uiPriority w:val="0"/>
  </w:style>
  <w:style w:type="character" w:customStyle="1" w:styleId="33">
    <w:name w:val="yjl"/>
    <w:basedOn w:val="9"/>
    <w:autoRedefine/>
    <w:qFormat/>
    <w:uiPriority w:val="0"/>
    <w:rPr>
      <w:color w:val="999999"/>
    </w:rPr>
  </w:style>
  <w:style w:type="character" w:customStyle="1" w:styleId="34">
    <w:name w:val="yjr"/>
    <w:basedOn w:val="9"/>
    <w:autoRedefine/>
    <w:qFormat/>
    <w:uiPriority w:val="0"/>
  </w:style>
  <w:style w:type="character" w:customStyle="1" w:styleId="35">
    <w:name w:val="cur"/>
    <w:basedOn w:val="9"/>
    <w:autoRedefine/>
    <w:qFormat/>
    <w:uiPriority w:val="0"/>
    <w:rPr>
      <w:color w:val="3354A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7</Pages>
  <Words>2396</Words>
  <Characters>2532</Characters>
  <Lines>13</Lines>
  <Paragraphs>3</Paragraphs>
  <TotalTime>60</TotalTime>
  <ScaleCrop>false</ScaleCrop>
  <LinksUpToDate>false</LinksUpToDate>
  <CharactersWithSpaces>2729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Administrator</cp:lastModifiedBy>
  <cp:lastPrinted>2021-01-19T06:51:00Z</cp:lastPrinted>
  <dcterms:modified xsi:type="dcterms:W3CDTF">2024-03-14T08:38:35Z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A7043069ACE741AB9492F6DFDF87F49A_12</vt:lpwstr>
  </property>
</Properties>
</file>