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sz w:val="44"/>
          <w:szCs w:val="44"/>
        </w:rPr>
      </w:pPr>
      <w:r>
        <w:rPr>
          <w:rFonts w:hint="eastAsia" w:cs="宋体" w:asciiTheme="minorEastAsia" w:hAnsiTheme="minorEastAsia"/>
          <w:b/>
          <w:sz w:val="44"/>
          <w:szCs w:val="44"/>
        </w:rPr>
        <w:t>《高青县东部片区控制性详细规划局部地块修改》批前公示</w:t>
      </w:r>
    </w:p>
    <w:p>
      <w:pPr>
        <w:pStyle w:val="2"/>
        <w:spacing w:line="360" w:lineRule="auto"/>
        <w:ind w:firstLine="482" w:firstLineChars="200"/>
        <w:rPr>
          <w:rFonts w:hAnsi="宋体"/>
          <w:b/>
          <w:sz w:val="24"/>
          <w:szCs w:val="24"/>
        </w:rPr>
      </w:pPr>
    </w:p>
    <w:p>
      <w:pPr>
        <w:pStyle w:val="2"/>
        <w:spacing w:line="360" w:lineRule="auto"/>
        <w:ind w:firstLine="482" w:firstLineChars="200"/>
        <w:rPr>
          <w:rFonts w:hAnsi="宋体"/>
          <w:b/>
          <w:sz w:val="24"/>
          <w:szCs w:val="24"/>
        </w:rPr>
      </w:pPr>
      <w:r>
        <w:rPr>
          <w:rFonts w:hint="eastAsia" w:hAnsi="宋体"/>
          <w:b/>
          <w:sz w:val="24"/>
          <w:szCs w:val="24"/>
        </w:rPr>
        <w:t>一、规划简介</w:t>
      </w:r>
    </w:p>
    <w:p>
      <w:pPr>
        <w:pStyle w:val="2"/>
        <w:spacing w:line="360" w:lineRule="auto"/>
        <w:ind w:firstLine="480" w:firstLineChars="200"/>
        <w:rPr>
          <w:rFonts w:hAnsi="宋体"/>
          <w:sz w:val="24"/>
          <w:szCs w:val="24"/>
        </w:rPr>
      </w:pPr>
      <w:r>
        <w:rPr>
          <w:rFonts w:hint="eastAsia" w:hAnsi="宋体"/>
          <w:sz w:val="24"/>
          <w:szCs w:val="24"/>
        </w:rPr>
        <w:t>（一）规划范围</w:t>
      </w:r>
    </w:p>
    <w:p>
      <w:pPr>
        <w:pStyle w:val="2"/>
        <w:spacing w:line="360" w:lineRule="auto"/>
        <w:ind w:firstLine="480" w:firstLineChars="200"/>
        <w:rPr>
          <w:rFonts w:hint="eastAsia" w:hAnsi="宋体" w:eastAsia="宋体"/>
          <w:sz w:val="24"/>
          <w:szCs w:val="24"/>
          <w:lang w:eastAsia="zh-CN"/>
        </w:rPr>
      </w:pPr>
      <w:r>
        <w:rPr>
          <w:rFonts w:hint="eastAsia" w:hAnsi="宋体"/>
          <w:sz w:val="24"/>
          <w:szCs w:val="24"/>
          <w:lang w:eastAsia="zh-CN"/>
        </w:rPr>
        <w:t>规划</w:t>
      </w:r>
      <w:r>
        <w:rPr>
          <w:rFonts w:hint="eastAsia" w:hAnsi="宋体"/>
          <w:sz w:val="24"/>
          <w:szCs w:val="24"/>
        </w:rPr>
        <w:t>范围</w:t>
      </w:r>
      <w:r>
        <w:rPr>
          <w:rFonts w:hint="eastAsia" w:hAnsi="宋体"/>
          <w:sz w:val="24"/>
          <w:szCs w:val="24"/>
          <w:lang w:eastAsia="zh-CN"/>
        </w:rPr>
        <w:t>位于高青县中心城区</w:t>
      </w:r>
      <w:r>
        <w:rPr>
          <w:rFonts w:hint="eastAsia" w:hAnsi="宋体"/>
          <w:sz w:val="24"/>
          <w:szCs w:val="24"/>
        </w:rPr>
        <w:t>开泰大道、国井大道、滨河路、扳倒井路</w:t>
      </w:r>
      <w:r>
        <w:rPr>
          <w:rFonts w:hint="eastAsia" w:hAnsi="宋体"/>
          <w:sz w:val="24"/>
          <w:szCs w:val="24"/>
          <w:lang w:eastAsia="zh-CN"/>
        </w:rPr>
        <w:t>围合的</w:t>
      </w:r>
      <w:r>
        <w:rPr>
          <w:rFonts w:hint="eastAsia" w:hAnsi="宋体"/>
          <w:sz w:val="24"/>
          <w:szCs w:val="24"/>
        </w:rPr>
        <w:t>区域，</w:t>
      </w:r>
      <w:r>
        <w:rPr>
          <w:rFonts w:hint="eastAsia" w:hAnsi="宋体"/>
          <w:sz w:val="24"/>
          <w:szCs w:val="24"/>
          <w:lang w:eastAsia="zh-CN"/>
        </w:rPr>
        <w:t>总用地</w:t>
      </w:r>
      <w:r>
        <w:rPr>
          <w:rFonts w:hint="eastAsia" w:hAnsi="宋体"/>
          <w:sz w:val="24"/>
          <w:szCs w:val="24"/>
        </w:rPr>
        <w:t>面积为</w:t>
      </w:r>
      <w:r>
        <w:rPr>
          <w:rFonts w:hint="eastAsia" w:hAnsi="宋体"/>
          <w:sz w:val="24"/>
          <w:szCs w:val="24"/>
          <w:lang w:val="en-US" w:eastAsia="zh-CN"/>
        </w:rPr>
        <w:t>357.34</w:t>
      </w:r>
      <w:r>
        <w:rPr>
          <w:rFonts w:hint="eastAsia" w:hAnsi="宋体"/>
          <w:sz w:val="24"/>
          <w:szCs w:val="24"/>
        </w:rPr>
        <w:t>公顷。</w:t>
      </w:r>
      <w:r>
        <w:rPr>
          <w:rFonts w:hint="eastAsia" w:hAnsi="宋体"/>
          <w:sz w:val="24"/>
          <w:szCs w:val="24"/>
          <w:lang w:eastAsia="zh-CN"/>
        </w:rPr>
        <w:t>本次控规修改范围为黄河东路以南、东环水系以东、规划五号路西、高苑路以北区域，面积为29.340公顷。</w:t>
      </w:r>
    </w:p>
    <w:p>
      <w:pPr>
        <w:pStyle w:val="2"/>
        <w:spacing w:line="360" w:lineRule="auto"/>
        <w:ind w:firstLine="480" w:firstLineChars="200"/>
        <w:rPr>
          <w:rFonts w:hAnsi="宋体"/>
          <w:sz w:val="24"/>
          <w:szCs w:val="24"/>
        </w:rPr>
      </w:pPr>
      <w:r>
        <w:rPr>
          <w:rFonts w:hint="eastAsia" w:hAnsi="宋体"/>
          <w:sz w:val="24"/>
          <w:szCs w:val="24"/>
        </w:rPr>
        <w:t>（二）规划依据</w:t>
      </w:r>
    </w:p>
    <w:p>
      <w:pPr>
        <w:numPr>
          <w:ilvl w:val="0"/>
          <w:numId w:val="1"/>
        </w:numPr>
        <w:spacing w:line="360" w:lineRule="auto"/>
        <w:jc w:val="left"/>
        <w:rPr>
          <w:rFonts w:ascii="宋体" w:hAnsi="宋体"/>
          <w:sz w:val="24"/>
          <w:szCs w:val="24"/>
          <w:lang w:val="zh-CN"/>
        </w:rPr>
      </w:pPr>
      <w:r>
        <w:rPr>
          <w:rFonts w:ascii="宋体" w:hAnsi="宋体"/>
          <w:sz w:val="24"/>
          <w:szCs w:val="24"/>
          <w:lang w:val="zh-CN"/>
        </w:rPr>
        <w:t>《中华人民共和国城乡规划法》（2019年修正）；</w:t>
      </w:r>
    </w:p>
    <w:p>
      <w:pPr>
        <w:numPr>
          <w:ilvl w:val="0"/>
          <w:numId w:val="1"/>
        </w:numPr>
        <w:spacing w:line="360" w:lineRule="auto"/>
        <w:jc w:val="left"/>
        <w:rPr>
          <w:rFonts w:ascii="宋体" w:hAnsi="宋体"/>
          <w:sz w:val="24"/>
          <w:szCs w:val="24"/>
          <w:lang w:val="zh-CN"/>
        </w:rPr>
      </w:pPr>
      <w:r>
        <w:rPr>
          <w:rFonts w:ascii="宋体" w:hAnsi="宋体"/>
          <w:sz w:val="24"/>
          <w:szCs w:val="24"/>
          <w:lang w:val="zh-CN"/>
        </w:rPr>
        <w:t>《城市规划编制办法》（建设部第146号令）；</w:t>
      </w:r>
    </w:p>
    <w:p>
      <w:pPr>
        <w:numPr>
          <w:ilvl w:val="0"/>
          <w:numId w:val="1"/>
        </w:numPr>
        <w:spacing w:line="360" w:lineRule="auto"/>
        <w:rPr>
          <w:rFonts w:ascii="宋体" w:hAnsi="宋体"/>
          <w:sz w:val="24"/>
          <w:szCs w:val="24"/>
        </w:rPr>
      </w:pPr>
      <w:r>
        <w:rPr>
          <w:rFonts w:ascii="宋体" w:hAnsi="宋体"/>
          <w:sz w:val="24"/>
          <w:szCs w:val="24"/>
        </w:rPr>
        <w:t>《城市、镇控制性详细规划编制审批办法》（2011）；</w:t>
      </w:r>
    </w:p>
    <w:p>
      <w:pPr>
        <w:numPr>
          <w:ilvl w:val="0"/>
          <w:numId w:val="1"/>
        </w:numPr>
        <w:spacing w:line="360" w:lineRule="auto"/>
        <w:jc w:val="left"/>
        <w:rPr>
          <w:rFonts w:ascii="宋体" w:hAnsi="宋体"/>
          <w:sz w:val="24"/>
          <w:szCs w:val="24"/>
          <w:lang w:val="zh-CN"/>
        </w:rPr>
      </w:pPr>
      <w:r>
        <w:rPr>
          <w:rFonts w:ascii="宋体" w:hAnsi="宋体"/>
          <w:sz w:val="24"/>
          <w:szCs w:val="24"/>
          <w:lang w:val="zh-CN"/>
        </w:rPr>
        <w:t>《城市黄线管理办法》（2006年3月1起施行）；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《城市绿线管理办法》（2002年11月1日起施行）；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《城市蓝线管理办法》（2006年3月1日起施行）；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《城市用地分类与规划建设用地标准》（GB50137—2011）；</w:t>
      </w:r>
    </w:p>
    <w:p>
      <w:pPr>
        <w:numPr>
          <w:ilvl w:val="0"/>
          <w:numId w:val="1"/>
        </w:numPr>
        <w:spacing w:line="360" w:lineRule="auto"/>
        <w:rPr>
          <w:rFonts w:ascii="宋体" w:hAnsi="宋体"/>
          <w:sz w:val="24"/>
          <w:szCs w:val="24"/>
        </w:rPr>
      </w:pPr>
      <w:r>
        <w:rPr>
          <w:rFonts w:ascii="宋体" w:hAnsi="宋体"/>
          <w:sz w:val="24"/>
          <w:szCs w:val="24"/>
        </w:rPr>
        <w:t>《城市居住区规划设计标准》（GB50180—2018）；</w:t>
      </w:r>
    </w:p>
    <w:p>
      <w:pPr>
        <w:numPr>
          <w:ilvl w:val="0"/>
          <w:numId w:val="1"/>
        </w:numPr>
        <w:spacing w:line="360" w:lineRule="auto"/>
        <w:rPr>
          <w:rFonts w:ascii="宋体" w:hAnsi="宋体"/>
          <w:sz w:val="24"/>
          <w:szCs w:val="24"/>
        </w:rPr>
      </w:pPr>
      <w:r>
        <w:rPr>
          <w:rFonts w:ascii="宋体" w:hAnsi="宋体"/>
          <w:sz w:val="24"/>
          <w:szCs w:val="24"/>
        </w:rPr>
        <w:t>《城市道路交通组织设计规范》（GB/T 36670-2018）；</w:t>
      </w:r>
    </w:p>
    <w:p>
      <w:pPr>
        <w:numPr>
          <w:ilvl w:val="0"/>
          <w:numId w:val="1"/>
        </w:numPr>
        <w:spacing w:line="360" w:lineRule="auto"/>
        <w:jc w:val="left"/>
        <w:rPr>
          <w:rFonts w:ascii="宋体" w:hAnsi="宋体"/>
          <w:sz w:val="24"/>
          <w:szCs w:val="24"/>
          <w:lang w:val="zh-CN"/>
        </w:rPr>
      </w:pPr>
      <w:r>
        <w:rPr>
          <w:rFonts w:ascii="宋体" w:hAnsi="宋体"/>
          <w:sz w:val="24"/>
          <w:szCs w:val="24"/>
          <w:lang w:val="zh-CN"/>
        </w:rPr>
        <w:t>《社区卫生服务中心、站建设标准》（建标163-2013）；</w:t>
      </w:r>
    </w:p>
    <w:p>
      <w:pPr>
        <w:numPr>
          <w:ilvl w:val="0"/>
          <w:numId w:val="1"/>
        </w:numPr>
        <w:spacing w:line="360" w:lineRule="auto"/>
        <w:jc w:val="left"/>
        <w:rPr>
          <w:rFonts w:ascii="宋体" w:hAnsi="宋体"/>
          <w:sz w:val="24"/>
          <w:szCs w:val="24"/>
          <w:lang w:val="zh-CN"/>
        </w:rPr>
      </w:pPr>
      <w:r>
        <w:rPr>
          <w:rFonts w:ascii="宋体" w:hAnsi="宋体"/>
          <w:sz w:val="24"/>
          <w:szCs w:val="24"/>
          <w:lang w:val="zh-CN"/>
        </w:rPr>
        <w:t>《山东省城乡规划条例》（2018年修正）；</w:t>
      </w:r>
    </w:p>
    <w:p>
      <w:pPr>
        <w:numPr>
          <w:ilvl w:val="0"/>
          <w:numId w:val="1"/>
        </w:numPr>
        <w:spacing w:line="360" w:lineRule="auto"/>
        <w:jc w:val="left"/>
        <w:rPr>
          <w:rFonts w:ascii="宋体" w:hAnsi="宋体"/>
          <w:sz w:val="24"/>
          <w:szCs w:val="24"/>
          <w:lang w:val="zh-CN"/>
        </w:rPr>
      </w:pPr>
      <w:r>
        <w:rPr>
          <w:rFonts w:ascii="宋体" w:hAnsi="宋体"/>
          <w:sz w:val="24"/>
          <w:szCs w:val="24"/>
          <w:lang w:val="zh-CN"/>
        </w:rPr>
        <w:t>《山东省普通中小学基本办学条件标准》；</w:t>
      </w:r>
    </w:p>
    <w:p>
      <w:pPr>
        <w:numPr>
          <w:ilvl w:val="0"/>
          <w:numId w:val="1"/>
        </w:numPr>
        <w:spacing w:line="360" w:lineRule="auto"/>
        <w:jc w:val="left"/>
        <w:rPr>
          <w:rFonts w:ascii="宋体" w:hAnsi="宋体"/>
          <w:sz w:val="24"/>
          <w:szCs w:val="24"/>
          <w:lang w:val="zh-CN"/>
        </w:rPr>
      </w:pPr>
      <w:r>
        <w:rPr>
          <w:rFonts w:ascii="宋体" w:hAnsi="宋体"/>
          <w:sz w:val="24"/>
          <w:szCs w:val="24"/>
          <w:lang w:val="zh-CN"/>
        </w:rPr>
        <w:t>《山东省建设用地控制标准（2019年版）》；</w:t>
      </w:r>
    </w:p>
    <w:p>
      <w:pPr>
        <w:numPr>
          <w:ilvl w:val="0"/>
          <w:numId w:val="1"/>
        </w:numPr>
        <w:spacing w:line="360" w:lineRule="auto"/>
        <w:jc w:val="left"/>
        <w:rPr>
          <w:rFonts w:ascii="宋体" w:hAnsi="宋体"/>
          <w:sz w:val="24"/>
          <w:szCs w:val="24"/>
          <w:lang w:val="zh-CN"/>
        </w:rPr>
      </w:pPr>
      <w:r>
        <w:rPr>
          <w:rFonts w:ascii="宋体" w:hAnsi="宋体"/>
          <w:sz w:val="24"/>
          <w:szCs w:val="24"/>
          <w:lang w:val="zh-CN"/>
        </w:rPr>
        <w:t>《山东省幼儿园办园条件标准》（2018年12月1日起施行）；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《山东省城市建设项目配建停车位规范》（鲁建标字[2010]26号）；</w:t>
      </w:r>
    </w:p>
    <w:p>
      <w:pPr>
        <w:numPr>
          <w:ilvl w:val="0"/>
          <w:numId w:val="1"/>
        </w:numPr>
        <w:spacing w:line="360" w:lineRule="auto"/>
        <w:jc w:val="left"/>
        <w:rPr>
          <w:rFonts w:ascii="宋体" w:hAnsi="宋体"/>
          <w:sz w:val="24"/>
          <w:szCs w:val="24"/>
          <w:lang w:val="zh-CN"/>
        </w:rPr>
      </w:pPr>
      <w:r>
        <w:rPr>
          <w:rFonts w:ascii="宋体" w:hAnsi="宋体"/>
          <w:sz w:val="24"/>
          <w:szCs w:val="24"/>
          <w:lang w:val="zh-CN"/>
        </w:rPr>
        <w:t>《淄博市新建房地产项目公共服务配套设施规划配置和建设标准指导意见》（2021年6月6日起施行）；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《淄博市新建房地产项目公共服务配套设施建设管理办法》（2020年10月22日起施行）；</w:t>
      </w:r>
    </w:p>
    <w:p>
      <w:pPr>
        <w:numPr>
          <w:ilvl w:val="0"/>
          <w:numId w:val="1"/>
        </w:numPr>
        <w:spacing w:line="360" w:lineRule="auto"/>
        <w:jc w:val="left"/>
        <w:rPr>
          <w:rFonts w:ascii="宋体" w:hAnsi="宋体"/>
          <w:sz w:val="24"/>
          <w:szCs w:val="24"/>
          <w:lang w:val="zh-CN"/>
        </w:rPr>
      </w:pPr>
      <w:r>
        <w:rPr>
          <w:rFonts w:ascii="宋体" w:hAnsi="宋体"/>
          <w:sz w:val="24"/>
          <w:szCs w:val="24"/>
          <w:lang w:val="zh-CN"/>
        </w:rPr>
        <w:t>《淄博市新建居住区公共体育配套设施建设管理办法》（2021年6月）</w:t>
      </w:r>
    </w:p>
    <w:p>
      <w:pPr>
        <w:numPr>
          <w:ilvl w:val="0"/>
          <w:numId w:val="1"/>
        </w:numPr>
        <w:spacing w:line="360" w:lineRule="auto"/>
        <w:jc w:val="left"/>
        <w:rPr>
          <w:rFonts w:ascii="宋体" w:hAnsi="宋体"/>
          <w:sz w:val="24"/>
          <w:szCs w:val="24"/>
          <w:lang w:val="zh-CN"/>
        </w:rPr>
      </w:pPr>
      <w:r>
        <w:rPr>
          <w:rFonts w:ascii="宋体" w:hAnsi="宋体"/>
          <w:sz w:val="24"/>
          <w:szCs w:val="24"/>
          <w:lang w:val="zh-CN"/>
        </w:rPr>
        <w:t>《淄博市城市规划管理技术规定》（2005版）；</w:t>
      </w:r>
    </w:p>
    <w:p>
      <w:pPr>
        <w:numPr>
          <w:ilvl w:val="0"/>
          <w:numId w:val="1"/>
        </w:numPr>
        <w:spacing w:line="360" w:lineRule="auto"/>
        <w:jc w:val="left"/>
        <w:rPr>
          <w:rFonts w:ascii="宋体" w:hAnsi="宋体"/>
          <w:sz w:val="24"/>
          <w:szCs w:val="24"/>
          <w:lang w:val="zh-CN"/>
        </w:rPr>
      </w:pPr>
      <w:r>
        <w:rPr>
          <w:rFonts w:ascii="宋体" w:hAnsi="宋体"/>
          <w:sz w:val="24"/>
          <w:szCs w:val="24"/>
          <w:lang w:val="zh-CN"/>
        </w:rPr>
        <w:t>《高青县县城总体规划（2018-2035年）》；</w:t>
      </w:r>
    </w:p>
    <w:p>
      <w:pPr>
        <w:numPr>
          <w:ilvl w:val="0"/>
          <w:numId w:val="1"/>
        </w:numPr>
        <w:spacing w:line="360" w:lineRule="auto"/>
        <w:jc w:val="left"/>
        <w:rPr>
          <w:rFonts w:ascii="宋体" w:hAnsi="宋体"/>
          <w:sz w:val="24"/>
          <w:szCs w:val="24"/>
          <w:lang w:val="zh-CN"/>
        </w:rPr>
      </w:pPr>
      <w:r>
        <w:rPr>
          <w:rFonts w:ascii="宋体" w:hAnsi="宋体"/>
          <w:sz w:val="24"/>
          <w:szCs w:val="24"/>
          <w:lang w:val="zh-CN"/>
        </w:rPr>
        <w:t>《高青县土地利用总体规划（2006-2020年）》；</w:t>
      </w:r>
    </w:p>
    <w:p>
      <w:pPr>
        <w:numPr>
          <w:ilvl w:val="0"/>
          <w:numId w:val="1"/>
        </w:numPr>
        <w:spacing w:line="360" w:lineRule="auto"/>
        <w:jc w:val="left"/>
        <w:rPr>
          <w:rFonts w:ascii="宋体" w:hAnsi="宋体"/>
          <w:sz w:val="24"/>
          <w:szCs w:val="24"/>
          <w:lang w:val="zh-CN"/>
        </w:rPr>
      </w:pPr>
      <w:r>
        <w:rPr>
          <w:rFonts w:ascii="宋体" w:hAnsi="宋体"/>
          <w:sz w:val="24"/>
          <w:szCs w:val="24"/>
          <w:lang w:val="zh-CN"/>
        </w:rPr>
        <w:t>《高青县中小学、幼儿园布局规划（2019-2030年）》</w:t>
      </w:r>
    </w:p>
    <w:p>
      <w:pPr>
        <w:numPr>
          <w:ilvl w:val="0"/>
          <w:numId w:val="1"/>
        </w:numPr>
        <w:spacing w:line="360" w:lineRule="auto"/>
        <w:jc w:val="left"/>
        <w:rPr>
          <w:rFonts w:ascii="宋体" w:hAnsi="宋体"/>
          <w:sz w:val="24"/>
          <w:szCs w:val="24"/>
          <w:lang w:val="zh-CN"/>
        </w:rPr>
      </w:pPr>
      <w:r>
        <w:rPr>
          <w:rFonts w:hint="eastAsia" w:ascii="宋体" w:hAnsi="宋体"/>
          <w:sz w:val="24"/>
          <w:szCs w:val="24"/>
          <w:lang w:val="zh-CN"/>
        </w:rPr>
        <w:t>《高青县城区停车设施专项规划（2018-2035年）》</w:t>
      </w:r>
    </w:p>
    <w:p>
      <w:pPr>
        <w:numPr>
          <w:ilvl w:val="0"/>
          <w:numId w:val="1"/>
        </w:numPr>
        <w:spacing w:line="360" w:lineRule="auto"/>
        <w:jc w:val="left"/>
        <w:rPr>
          <w:rFonts w:ascii="宋体" w:hAnsi="宋体"/>
          <w:sz w:val="24"/>
          <w:szCs w:val="24"/>
          <w:lang w:val="zh-CN"/>
        </w:rPr>
      </w:pPr>
      <w:r>
        <w:rPr>
          <w:rFonts w:ascii="宋体" w:hAnsi="宋体"/>
          <w:sz w:val="24"/>
          <w:szCs w:val="24"/>
          <w:lang w:val="zh-CN"/>
        </w:rPr>
        <w:t>其他相关法规、规范、政策文件等。</w:t>
      </w:r>
    </w:p>
    <w:p>
      <w:pPr>
        <w:pStyle w:val="2"/>
        <w:spacing w:line="360" w:lineRule="auto"/>
        <w:ind w:firstLine="480" w:firstLineChars="200"/>
        <w:rPr>
          <w:rFonts w:hAnsi="宋体"/>
          <w:sz w:val="24"/>
          <w:szCs w:val="24"/>
        </w:rPr>
      </w:pPr>
      <w:r>
        <w:rPr>
          <w:rFonts w:hint="eastAsia" w:hAnsi="宋体"/>
          <w:sz w:val="24"/>
          <w:szCs w:val="24"/>
        </w:rPr>
        <w:t>（三）规划内容</w:t>
      </w:r>
    </w:p>
    <w:p>
      <w:pPr>
        <w:pStyle w:val="5"/>
        <w:shd w:val="clear" w:color="auto" w:fill="FFFFFF"/>
        <w:spacing w:before="0" w:beforeAutospacing="0" w:after="0" w:afterAutospacing="0" w:line="360" w:lineRule="auto"/>
        <w:ind w:firstLine="480"/>
      </w:pPr>
      <w:r>
        <w:rPr>
          <w:rFonts w:hint="eastAsia"/>
        </w:rPr>
        <w:t>依据《高青县县城总体规划（2018—2035年）》（批复稿）和相关规范，规划结合区位功能与空间特点，对用地进行地块划分；确定各地块用地性质和控制指标；落实专项规划内容；规定交通出入口方位、停车泊位等要求；提出规划范围内的建筑形式、色彩等城市设计指导原则；确定各级道路的红线、控制点坐标和标高；落实明确总体规划确定</w:t>
      </w:r>
      <w:r>
        <w:t>的</w:t>
      </w:r>
      <w:r>
        <w:rPr>
          <w:rFonts w:hint="eastAsia"/>
        </w:rPr>
        <w:t>城市绿线和城市黄线的控制范围；落实公共服务设施和市政基础设施。</w:t>
      </w:r>
    </w:p>
    <w:p>
      <w:pPr>
        <w:pStyle w:val="5"/>
        <w:shd w:val="clear" w:color="auto" w:fill="FFFFFF"/>
        <w:spacing w:before="0" w:beforeAutospacing="0" w:after="0" w:afterAutospacing="0" w:line="360" w:lineRule="auto"/>
        <w:ind w:firstLine="480"/>
        <w:rPr>
          <w:highlight w:val="none"/>
        </w:rPr>
      </w:pPr>
      <w:r>
        <w:rPr>
          <w:rFonts w:hint="eastAsia"/>
          <w:highlight w:val="none"/>
        </w:rPr>
        <w:t>1、规划用地</w:t>
      </w:r>
    </w:p>
    <w:p>
      <w:pPr>
        <w:pStyle w:val="5"/>
        <w:tabs>
          <w:tab w:val="left" w:pos="0"/>
        </w:tabs>
        <w:spacing w:before="0" w:beforeAutospacing="0" w:after="0" w:afterAutospacing="0" w:line="360" w:lineRule="auto"/>
        <w:ind w:firstLine="480" w:firstLineChars="200"/>
        <w:rPr>
          <w:highlight w:val="none"/>
        </w:rPr>
      </w:pPr>
      <w:r>
        <w:rPr>
          <w:rFonts w:hint="eastAsia"/>
          <w:highlight w:val="none"/>
        </w:rPr>
        <w:t>规划总用地</w:t>
      </w:r>
      <w:r>
        <w:rPr>
          <w:rFonts w:hint="eastAsia"/>
          <w:highlight w:val="none"/>
          <w:lang w:val="en-US" w:eastAsia="zh-CN"/>
        </w:rPr>
        <w:t>357.34</w:t>
      </w:r>
      <w:r>
        <w:rPr>
          <w:rFonts w:hint="eastAsia"/>
          <w:highlight w:val="none"/>
        </w:rPr>
        <w:t>公顷，其中城乡居民点建设用地</w:t>
      </w:r>
      <w:r>
        <w:rPr>
          <w:rFonts w:hint="eastAsia"/>
          <w:highlight w:val="none"/>
          <w:lang w:val="en-US" w:eastAsia="zh-CN"/>
        </w:rPr>
        <w:t>325.86</w:t>
      </w:r>
      <w:r>
        <w:rPr>
          <w:rFonts w:hint="eastAsia"/>
          <w:highlight w:val="none"/>
        </w:rPr>
        <w:t>公顷，采矿用地</w:t>
      </w:r>
      <w:r>
        <w:rPr>
          <w:rFonts w:hint="eastAsia"/>
          <w:highlight w:val="none"/>
          <w:lang w:val="en-US" w:eastAsia="zh-CN"/>
        </w:rPr>
        <w:t>0.08</w:t>
      </w:r>
      <w:r>
        <w:rPr>
          <w:rFonts w:hint="eastAsia"/>
          <w:highlight w:val="none"/>
        </w:rPr>
        <w:t>公顷，水域</w:t>
      </w:r>
      <w:r>
        <w:rPr>
          <w:rFonts w:hint="eastAsia"/>
          <w:highlight w:val="none"/>
          <w:lang w:val="en-US" w:eastAsia="zh-CN"/>
        </w:rPr>
        <w:t>29.39</w:t>
      </w:r>
      <w:r>
        <w:rPr>
          <w:rFonts w:hint="eastAsia"/>
          <w:highlight w:val="none"/>
        </w:rPr>
        <w:t>公顷。城市建设</w:t>
      </w:r>
      <w:r>
        <w:rPr>
          <w:highlight w:val="none"/>
        </w:rPr>
        <w:t>用地</w:t>
      </w:r>
      <w:r>
        <w:rPr>
          <w:rFonts w:hint="eastAsia"/>
          <w:highlight w:val="none"/>
        </w:rPr>
        <w:t>主要包括居住用地、公共管理与公共服务设施用地、商业服务业设施用地、工业用地、</w:t>
      </w:r>
      <w:r>
        <w:rPr>
          <w:rFonts w:hint="eastAsia"/>
          <w:highlight w:val="none"/>
          <w:lang w:eastAsia="zh-CN"/>
        </w:rPr>
        <w:t>物流仓储用地、</w:t>
      </w:r>
      <w:r>
        <w:rPr>
          <w:rFonts w:hint="eastAsia"/>
          <w:highlight w:val="none"/>
        </w:rPr>
        <w:t>道路与交通设施用地、公用</w:t>
      </w:r>
      <w:r>
        <w:rPr>
          <w:highlight w:val="none"/>
        </w:rPr>
        <w:t>设施用地、</w:t>
      </w:r>
      <w:r>
        <w:rPr>
          <w:rFonts w:hint="eastAsia"/>
          <w:highlight w:val="none"/>
        </w:rPr>
        <w:t>绿地与广场用地</w:t>
      </w:r>
      <w:r>
        <w:rPr>
          <w:rFonts w:hint="eastAsia"/>
          <w:highlight w:val="none"/>
          <w:lang w:eastAsia="zh-CN"/>
        </w:rPr>
        <w:t>八</w:t>
      </w:r>
      <w:r>
        <w:rPr>
          <w:rFonts w:hint="eastAsia"/>
          <w:highlight w:val="none"/>
        </w:rPr>
        <w:t>大类用地。</w:t>
      </w:r>
    </w:p>
    <w:p>
      <w:pPr>
        <w:pStyle w:val="5"/>
        <w:shd w:val="clear" w:color="auto" w:fill="FFFFFF"/>
        <w:spacing w:before="0" w:beforeAutospacing="0" w:after="0" w:afterAutospacing="0" w:line="360" w:lineRule="auto"/>
        <w:ind w:firstLine="480"/>
      </w:pPr>
      <w:r>
        <w:rPr>
          <w:rFonts w:hint="eastAsia"/>
        </w:rPr>
        <w:t>2、控制地块划分</w:t>
      </w:r>
    </w:p>
    <w:p>
      <w:pPr>
        <w:pStyle w:val="11"/>
        <w:spacing w:line="468" w:lineRule="exact"/>
        <w:ind w:firstLine="500"/>
        <w:rPr>
          <w:rFonts w:hint="eastAsia"/>
        </w:rPr>
      </w:pPr>
      <w:r>
        <w:rPr>
          <w:rFonts w:hint="eastAsia"/>
          <w:lang w:eastAsia="zh-CN"/>
        </w:rPr>
        <w:t>基于</w:t>
      </w:r>
      <w:r>
        <w:rPr>
          <w:rFonts w:hint="eastAsia"/>
        </w:rPr>
        <w:t>便于实施规划管理的原则，规划考虑土地使用性质和功能的内在关联性，以道 路、河流以及产业布局分区等为界限，将本片区划分为5个街区，街区编码由GQ-DB-01到GQ-DB-05,地块编码分别以DB-01-X、DB—02—X、DB—03—X、DB—04—X、DB—05-X进行排序， 统一制定规划控制指标。地块控制指标以用地性质、容积率、建筑密度、建筑高度、绿地率、配套服务设施为规定性控制指标，以建议出入口方向为引导性控制指标，对各地块进行管控。</w:t>
      </w:r>
    </w:p>
    <w:p>
      <w:pPr>
        <w:pStyle w:val="5"/>
        <w:shd w:val="clear" w:color="auto" w:fill="FFFFFF"/>
        <w:spacing w:before="0" w:beforeAutospacing="0" w:after="0" w:afterAutospacing="0" w:line="360" w:lineRule="auto"/>
        <w:ind w:firstLine="480"/>
      </w:pPr>
      <w:r>
        <w:rPr>
          <w:rFonts w:hint="eastAsia"/>
        </w:rPr>
        <w:t>3、配套设施</w:t>
      </w:r>
    </w:p>
    <w:p>
      <w:pPr>
        <w:pStyle w:val="5"/>
        <w:shd w:val="clear" w:color="auto" w:fill="FFFFFF"/>
        <w:spacing w:before="0" w:beforeAutospacing="0" w:after="0" w:afterAutospacing="0" w:line="360" w:lineRule="auto"/>
        <w:ind w:firstLine="480"/>
        <w:rPr>
          <w:rFonts w:asciiTheme="minorEastAsia" w:hAnsiTheme="minorEastAsia" w:eastAsiaTheme="minorEastAsia"/>
          <w:sz w:val="23"/>
          <w:szCs w:val="23"/>
          <w:highlight w:val="none"/>
        </w:rPr>
      </w:pPr>
      <w:r>
        <w:rPr>
          <w:rFonts w:hint="eastAsia" w:cs="Times New Roman"/>
          <w:kern w:val="2"/>
          <w:highlight w:val="none"/>
          <w:lang w:bidi="ar"/>
        </w:rPr>
        <w:t>规划居住区配套服务设施依据《城市居住区规划设计标准》（GB50180-2018）进行配建，规划范围内</w:t>
      </w:r>
      <w:r>
        <w:rPr>
          <w:rFonts w:cs="Times New Roman"/>
          <w:kern w:val="2"/>
          <w:highlight w:val="none"/>
          <w:lang w:bidi="ar"/>
        </w:rPr>
        <w:t>人口规模按</w:t>
      </w:r>
      <w:r>
        <w:rPr>
          <w:rFonts w:hint="eastAsia" w:cs="Times New Roman"/>
          <w:kern w:val="2"/>
          <w:highlight w:val="none"/>
          <w:lang w:bidi="ar"/>
        </w:rPr>
        <w:t>约</w:t>
      </w:r>
      <w:r>
        <w:rPr>
          <w:rFonts w:hint="eastAsia" w:cs="Times New Roman"/>
          <w:kern w:val="2"/>
          <w:highlight w:val="none"/>
          <w:lang w:val="en-US" w:eastAsia="zh-CN" w:bidi="ar"/>
        </w:rPr>
        <w:t>3.39</w:t>
      </w:r>
      <w:r>
        <w:rPr>
          <w:rFonts w:hint="eastAsia" w:cs="Times New Roman"/>
          <w:kern w:val="2"/>
          <w:highlight w:val="none"/>
          <w:lang w:bidi="ar"/>
        </w:rPr>
        <w:t>万人</w:t>
      </w:r>
      <w:r>
        <w:rPr>
          <w:rFonts w:cs="Times New Roman"/>
          <w:kern w:val="2"/>
          <w:highlight w:val="none"/>
          <w:lang w:bidi="ar"/>
        </w:rPr>
        <w:t>考虑，</w:t>
      </w:r>
      <w:r>
        <w:rPr>
          <w:rFonts w:hint="eastAsia" w:cs="Times New Roman"/>
          <w:kern w:val="2"/>
          <w:highlight w:val="none"/>
          <w:lang w:bidi="ar"/>
        </w:rPr>
        <w:t>应按照十五分钟</w:t>
      </w:r>
      <w:r>
        <w:rPr>
          <w:rFonts w:cs="Times New Roman"/>
          <w:kern w:val="2"/>
          <w:highlight w:val="none"/>
          <w:lang w:bidi="ar"/>
        </w:rPr>
        <w:t>、</w:t>
      </w:r>
      <w:r>
        <w:rPr>
          <w:rFonts w:hint="eastAsia" w:cs="Times New Roman"/>
          <w:kern w:val="2"/>
          <w:highlight w:val="none"/>
          <w:lang w:bidi="ar"/>
        </w:rPr>
        <w:t>十分钟</w:t>
      </w:r>
      <w:r>
        <w:rPr>
          <w:rFonts w:cs="Times New Roman"/>
          <w:kern w:val="2"/>
          <w:highlight w:val="none"/>
          <w:lang w:bidi="ar"/>
        </w:rPr>
        <w:t>、</w:t>
      </w:r>
      <w:r>
        <w:rPr>
          <w:rFonts w:hint="eastAsia" w:cs="Times New Roman"/>
          <w:kern w:val="2"/>
          <w:highlight w:val="none"/>
          <w:lang w:bidi="ar"/>
        </w:rPr>
        <w:t>五分钟生活圈3个级别</w:t>
      </w:r>
      <w:r>
        <w:rPr>
          <w:rFonts w:cs="Times New Roman"/>
          <w:kern w:val="2"/>
          <w:highlight w:val="none"/>
          <w:lang w:bidi="ar"/>
        </w:rPr>
        <w:t>分别配置配套设施</w:t>
      </w:r>
      <w:r>
        <w:rPr>
          <w:rFonts w:hint="eastAsia" w:asciiTheme="minorEastAsia" w:hAnsiTheme="minorEastAsia" w:eastAsiaTheme="minorEastAsia"/>
          <w:sz w:val="23"/>
          <w:szCs w:val="23"/>
          <w:highlight w:val="none"/>
        </w:rPr>
        <w:t>。</w:t>
      </w:r>
    </w:p>
    <w:p>
      <w:pPr>
        <w:pStyle w:val="5"/>
        <w:shd w:val="clear" w:color="auto" w:fill="FFFFFF"/>
        <w:spacing w:before="0" w:beforeAutospacing="0" w:after="0" w:afterAutospacing="0" w:line="360" w:lineRule="auto"/>
        <w:ind w:firstLine="480"/>
        <w:rPr>
          <w:highlight w:val="none"/>
        </w:rPr>
      </w:pPr>
      <w:r>
        <w:rPr>
          <w:rFonts w:hint="eastAsia" w:cs="Times New Roman"/>
          <w:kern w:val="2"/>
          <w:highlight w:val="none"/>
          <w:lang w:bidi="ar"/>
        </w:rPr>
        <w:t>主要配套</w:t>
      </w:r>
      <w:r>
        <w:rPr>
          <w:rFonts w:cs="Times New Roman"/>
          <w:kern w:val="2"/>
          <w:highlight w:val="none"/>
          <w:lang w:bidi="ar"/>
        </w:rPr>
        <w:t>设施包括</w:t>
      </w:r>
      <w:r>
        <w:rPr>
          <w:rFonts w:hint="eastAsia" w:cs="Times New Roman"/>
          <w:kern w:val="2"/>
          <w:highlight w:val="none"/>
          <w:lang w:val="en-US" w:eastAsia="zh-CN" w:bidi="ar"/>
        </w:rPr>
        <w:t>1</w:t>
      </w:r>
      <w:r>
        <w:rPr>
          <w:rFonts w:hint="eastAsia" w:cs="Times New Roman"/>
          <w:kern w:val="2"/>
          <w:highlight w:val="none"/>
          <w:lang w:bidi="ar"/>
        </w:rPr>
        <w:t>处小学、</w:t>
      </w:r>
      <w:r>
        <w:rPr>
          <w:rFonts w:hint="eastAsia" w:cs="Times New Roman"/>
          <w:kern w:val="2"/>
          <w:highlight w:val="none"/>
          <w:lang w:val="en-US" w:eastAsia="zh-CN" w:bidi="ar"/>
        </w:rPr>
        <w:t>4</w:t>
      </w:r>
      <w:r>
        <w:rPr>
          <w:rFonts w:hint="eastAsia" w:cs="Times New Roman"/>
          <w:kern w:val="2"/>
          <w:highlight w:val="none"/>
          <w:lang w:bidi="ar"/>
        </w:rPr>
        <w:t>处幼儿园、</w:t>
      </w:r>
      <w:r>
        <w:rPr>
          <w:rFonts w:hint="eastAsia" w:cs="Times New Roman"/>
          <w:kern w:val="2"/>
          <w:highlight w:val="none"/>
          <w:lang w:val="en-US" w:eastAsia="zh-CN" w:bidi="ar"/>
        </w:rPr>
        <w:t>1处托儿所、4</w:t>
      </w:r>
      <w:r>
        <w:rPr>
          <w:rFonts w:hint="eastAsia" w:cs="Times New Roman"/>
          <w:kern w:val="2"/>
          <w:highlight w:val="none"/>
          <w:lang w:bidi="ar"/>
        </w:rPr>
        <w:t>处养老设施(含老年养护院)、</w:t>
      </w:r>
      <w:r>
        <w:rPr>
          <w:rFonts w:hint="eastAsia" w:cs="Times New Roman"/>
          <w:kern w:val="2"/>
          <w:highlight w:val="none"/>
          <w:lang w:val="en-US" w:eastAsia="zh-CN" w:bidi="ar"/>
        </w:rPr>
        <w:t>1处综合超市、</w:t>
      </w:r>
      <w:r>
        <w:rPr>
          <w:rFonts w:hint="eastAsia" w:cs="Times New Roman"/>
          <w:kern w:val="2"/>
          <w:highlight w:val="none"/>
          <w:lang w:bidi="ar"/>
        </w:rPr>
        <w:t>1处</w:t>
      </w:r>
      <w:r>
        <w:rPr>
          <w:rFonts w:hint="eastAsia" w:cs="Times New Roman"/>
          <w:kern w:val="2"/>
          <w:highlight w:val="none"/>
          <w:lang w:eastAsia="zh-CN" w:bidi="ar"/>
        </w:rPr>
        <w:t>体育健身</w:t>
      </w:r>
      <w:r>
        <w:rPr>
          <w:rFonts w:hint="eastAsia" w:cs="Times New Roman"/>
          <w:kern w:val="2"/>
          <w:highlight w:val="none"/>
          <w:lang w:bidi="ar"/>
        </w:rPr>
        <w:t>场地、</w:t>
      </w:r>
      <w:r>
        <w:rPr>
          <w:rFonts w:cs="Times New Roman"/>
          <w:kern w:val="2"/>
          <w:highlight w:val="none"/>
          <w:lang w:bidi="ar"/>
        </w:rPr>
        <w:t>2</w:t>
      </w:r>
      <w:r>
        <w:rPr>
          <w:rFonts w:hint="eastAsia" w:cs="Times New Roman"/>
          <w:kern w:val="2"/>
          <w:highlight w:val="none"/>
          <w:lang w:bidi="ar"/>
        </w:rPr>
        <w:t>处文化活动中心、</w:t>
      </w:r>
      <w:r>
        <w:rPr>
          <w:rFonts w:hint="eastAsia" w:cs="Times New Roman"/>
          <w:kern w:val="2"/>
          <w:highlight w:val="none"/>
          <w:lang w:val="en-US" w:eastAsia="zh-CN" w:bidi="ar"/>
        </w:rPr>
        <w:t>7</w:t>
      </w:r>
      <w:r>
        <w:rPr>
          <w:rFonts w:hint="eastAsia" w:cs="Times New Roman"/>
          <w:kern w:val="2"/>
          <w:highlight w:val="none"/>
          <w:lang w:bidi="ar"/>
        </w:rPr>
        <w:t>处社区服务中心、8处社区卫生服务站、</w:t>
      </w:r>
      <w:r>
        <w:rPr>
          <w:rFonts w:hint="eastAsia" w:cs="Times New Roman"/>
          <w:kern w:val="2"/>
          <w:highlight w:val="none"/>
          <w:lang w:val="en-US" w:eastAsia="zh-CN" w:bidi="ar"/>
        </w:rPr>
        <w:t>2</w:t>
      </w:r>
      <w:r>
        <w:rPr>
          <w:rFonts w:hint="eastAsia" w:cs="Times New Roman"/>
          <w:kern w:val="2"/>
          <w:highlight w:val="none"/>
          <w:lang w:bidi="ar"/>
        </w:rPr>
        <w:t>处老年人日间照料中心</w:t>
      </w:r>
      <w:r>
        <w:rPr>
          <w:rFonts w:hint="eastAsia" w:cs="Times New Roman"/>
          <w:kern w:val="2"/>
          <w:highlight w:val="none"/>
          <w:lang w:eastAsia="zh-CN" w:bidi="ar"/>
        </w:rPr>
        <w:t>、</w:t>
      </w:r>
      <w:r>
        <w:rPr>
          <w:rFonts w:hint="eastAsia" w:cs="Times New Roman"/>
          <w:kern w:val="2"/>
          <w:highlight w:val="none"/>
          <w:lang w:val="en-US" w:eastAsia="zh-CN" w:bidi="ar"/>
        </w:rPr>
        <w:t>19处文化活动站、7处公厕</w:t>
      </w:r>
      <w:r>
        <w:rPr>
          <w:rFonts w:hint="eastAsia" w:cs="Times New Roman"/>
          <w:kern w:val="2"/>
          <w:highlight w:val="none"/>
          <w:lang w:bidi="ar"/>
        </w:rPr>
        <w:t>等。</w:t>
      </w:r>
    </w:p>
    <w:p>
      <w:pPr>
        <w:pStyle w:val="5"/>
        <w:shd w:val="clear" w:color="auto" w:fill="FFFFFF"/>
        <w:spacing w:before="0" w:beforeAutospacing="0" w:after="0" w:afterAutospacing="0" w:line="360" w:lineRule="auto"/>
        <w:ind w:firstLine="480"/>
      </w:pPr>
      <w:r>
        <w:rPr>
          <w:rFonts w:hint="eastAsia"/>
        </w:rPr>
        <w:t>（公示主要图纸</w:t>
      </w:r>
      <w:r>
        <w:t>）</w:t>
      </w:r>
    </w:p>
    <w:p>
      <w:pPr>
        <w:pStyle w:val="5"/>
        <w:shd w:val="clear" w:color="auto" w:fill="FFFFFF"/>
        <w:spacing w:before="0" w:beforeAutospacing="0" w:after="0" w:afterAutospacing="0" w:line="360" w:lineRule="auto"/>
        <w:ind w:firstLine="480"/>
        <w:rPr>
          <w:rFonts w:cs="Times New Roman"/>
          <w:kern w:val="2"/>
          <w:lang w:bidi="ar"/>
        </w:rPr>
      </w:pPr>
      <w:r>
        <w:rPr>
          <w:rFonts w:hint="eastAsia" w:cs="Times New Roman"/>
          <w:b/>
          <w:kern w:val="2"/>
          <w:lang w:bidi="ar"/>
        </w:rPr>
        <w:t>二、 公示时间：</w:t>
      </w:r>
      <w:r>
        <w:rPr>
          <w:rFonts w:hint="eastAsia" w:cs="Times New Roman"/>
          <w:kern w:val="2"/>
          <w:lang w:bidi="ar"/>
        </w:rPr>
        <w:t xml:space="preserve"> 20</w:t>
      </w:r>
      <w:r>
        <w:rPr>
          <w:rFonts w:cs="Times New Roman"/>
          <w:kern w:val="2"/>
          <w:lang w:bidi="ar"/>
        </w:rPr>
        <w:t>2</w:t>
      </w:r>
      <w:r>
        <w:rPr>
          <w:rFonts w:hint="eastAsia" w:cs="Times New Roman"/>
          <w:kern w:val="2"/>
          <w:lang w:val="en-US" w:eastAsia="zh-CN" w:bidi="ar"/>
        </w:rPr>
        <w:t>3</w:t>
      </w:r>
      <w:r>
        <w:rPr>
          <w:rFonts w:hint="eastAsia" w:cs="Times New Roman"/>
          <w:kern w:val="2"/>
          <w:lang w:bidi="ar"/>
        </w:rPr>
        <w:t>年</w:t>
      </w:r>
      <w:r>
        <w:rPr>
          <w:rFonts w:hint="eastAsia" w:cs="Times New Roman"/>
          <w:kern w:val="2"/>
          <w:lang w:val="en-US" w:eastAsia="zh-CN" w:bidi="ar"/>
        </w:rPr>
        <w:t>1</w:t>
      </w:r>
      <w:r>
        <w:rPr>
          <w:rFonts w:hint="eastAsia" w:cs="Times New Roman"/>
          <w:kern w:val="2"/>
          <w:lang w:bidi="ar"/>
        </w:rPr>
        <w:t>月</w:t>
      </w:r>
      <w:r>
        <w:rPr>
          <w:rFonts w:hint="eastAsia" w:cs="Times New Roman"/>
          <w:kern w:val="2"/>
          <w:lang w:val="en-US" w:eastAsia="zh-CN" w:bidi="ar"/>
        </w:rPr>
        <w:t>20</w:t>
      </w:r>
      <w:r>
        <w:rPr>
          <w:rFonts w:hint="eastAsia" w:cs="Times New Roman"/>
          <w:kern w:val="2"/>
          <w:lang w:bidi="ar"/>
        </w:rPr>
        <w:t>日至202</w:t>
      </w:r>
      <w:r>
        <w:rPr>
          <w:rFonts w:hint="eastAsia" w:cs="Times New Roman"/>
          <w:kern w:val="2"/>
          <w:lang w:val="en-US" w:eastAsia="zh-CN" w:bidi="ar"/>
        </w:rPr>
        <w:t>3</w:t>
      </w:r>
      <w:r>
        <w:rPr>
          <w:rFonts w:hint="eastAsia" w:cs="Times New Roman"/>
          <w:kern w:val="2"/>
          <w:lang w:bidi="ar"/>
        </w:rPr>
        <w:t>年</w:t>
      </w:r>
      <w:r>
        <w:rPr>
          <w:rFonts w:hint="eastAsia" w:cs="Times New Roman"/>
          <w:kern w:val="2"/>
          <w:lang w:val="en-US" w:eastAsia="zh-CN" w:bidi="ar"/>
        </w:rPr>
        <w:t>2</w:t>
      </w:r>
      <w:r>
        <w:rPr>
          <w:rFonts w:hint="eastAsia" w:cs="Times New Roman"/>
          <w:kern w:val="2"/>
          <w:lang w:bidi="ar"/>
        </w:rPr>
        <w:t>月</w:t>
      </w:r>
      <w:r>
        <w:rPr>
          <w:rFonts w:hint="eastAsia" w:cs="Times New Roman"/>
          <w:kern w:val="2"/>
          <w:lang w:val="en-US" w:eastAsia="zh-CN" w:bidi="ar"/>
        </w:rPr>
        <w:t>20</w:t>
      </w:r>
      <w:bookmarkStart w:id="0" w:name="_GoBack"/>
      <w:bookmarkEnd w:id="0"/>
      <w:r>
        <w:rPr>
          <w:rFonts w:hint="eastAsia" w:cs="Times New Roman"/>
          <w:kern w:val="2"/>
          <w:lang w:bidi="ar"/>
        </w:rPr>
        <w:t>日。</w:t>
      </w:r>
    </w:p>
    <w:p>
      <w:pPr>
        <w:pStyle w:val="5"/>
        <w:shd w:val="clear" w:color="auto" w:fill="FFFFFF"/>
        <w:spacing w:before="0" w:beforeAutospacing="0" w:after="0" w:afterAutospacing="0" w:line="360" w:lineRule="auto"/>
        <w:ind w:firstLine="480"/>
        <w:rPr>
          <w:rFonts w:cs="Times New Roman"/>
          <w:kern w:val="2"/>
          <w:lang w:bidi="ar"/>
        </w:rPr>
      </w:pPr>
      <w:r>
        <w:rPr>
          <w:rFonts w:hint="eastAsia" w:cs="Times New Roman"/>
          <w:b/>
          <w:kern w:val="2"/>
          <w:lang w:bidi="ar"/>
        </w:rPr>
        <w:t>三、 公示方式及地点：</w:t>
      </w:r>
      <w:r>
        <w:rPr>
          <w:rFonts w:hint="eastAsia" w:cs="Times New Roman"/>
          <w:kern w:val="2"/>
          <w:lang w:bidi="ar"/>
        </w:rPr>
        <w:t>高青县人民</w:t>
      </w:r>
      <w:r>
        <w:rPr>
          <w:rFonts w:cs="Times New Roman"/>
          <w:kern w:val="2"/>
          <w:lang w:bidi="ar"/>
        </w:rPr>
        <w:t>政府</w:t>
      </w:r>
      <w:r>
        <w:rPr>
          <w:rFonts w:hint="eastAsia" w:cs="Times New Roman"/>
          <w:kern w:val="2"/>
          <w:lang w:bidi="ar"/>
        </w:rPr>
        <w:t>网。</w:t>
      </w:r>
    </w:p>
    <w:p>
      <w:pPr>
        <w:pStyle w:val="5"/>
        <w:shd w:val="clear" w:color="auto" w:fill="FFFFFF"/>
        <w:spacing w:before="0" w:beforeAutospacing="0" w:after="0" w:afterAutospacing="0" w:line="360" w:lineRule="auto"/>
        <w:ind w:firstLine="480"/>
        <w:rPr>
          <w:rFonts w:cs="Times New Roman"/>
          <w:kern w:val="2"/>
          <w:lang w:bidi="ar"/>
        </w:rPr>
      </w:pPr>
      <w:r>
        <w:rPr>
          <w:rFonts w:hint="eastAsia" w:cs="Times New Roman"/>
          <w:b/>
          <w:kern w:val="2"/>
          <w:lang w:bidi="ar"/>
        </w:rPr>
        <w:t>四、 意见受理地址：</w:t>
      </w:r>
      <w:r>
        <w:rPr>
          <w:rFonts w:hint="eastAsia" w:cs="Times New Roman"/>
          <w:kern w:val="2"/>
          <w:lang w:bidi="ar"/>
        </w:rPr>
        <w:t>高苑路22号  高青县自然资源局。</w:t>
      </w:r>
    </w:p>
    <w:p>
      <w:pPr>
        <w:pStyle w:val="5"/>
        <w:shd w:val="clear" w:color="auto" w:fill="FFFFFF"/>
        <w:spacing w:before="0" w:beforeAutospacing="0" w:after="0" w:afterAutospacing="0" w:line="360" w:lineRule="auto"/>
        <w:ind w:firstLine="480"/>
        <w:rPr>
          <w:rFonts w:cs="Times New Roman"/>
          <w:kern w:val="2"/>
          <w:lang w:bidi="ar"/>
        </w:rPr>
      </w:pPr>
      <w:r>
        <w:rPr>
          <w:rFonts w:hint="eastAsia" w:cs="Times New Roman"/>
          <w:b/>
          <w:kern w:val="2"/>
          <w:lang w:bidi="ar"/>
        </w:rPr>
        <w:t>五、 意见受理电话：</w:t>
      </w:r>
      <w:r>
        <w:rPr>
          <w:rFonts w:hint="eastAsia" w:cs="Times New Roman"/>
          <w:kern w:val="2"/>
          <w:lang w:bidi="ar"/>
        </w:rPr>
        <w:t>0533-6967741。</w:t>
      </w:r>
    </w:p>
    <w:p>
      <w:pPr>
        <w:pStyle w:val="5"/>
        <w:shd w:val="clear" w:color="auto" w:fill="FFFFFF"/>
        <w:spacing w:before="0" w:beforeAutospacing="0" w:after="0" w:afterAutospacing="0" w:line="360" w:lineRule="auto"/>
        <w:ind w:firstLine="480"/>
        <w:rPr>
          <w:rFonts w:cs="Times New Roman"/>
          <w:b/>
          <w:kern w:val="2"/>
          <w:lang w:bidi="ar"/>
        </w:rPr>
      </w:pPr>
      <w:r>
        <w:rPr>
          <w:rFonts w:hint="eastAsia" w:cs="Times New Roman"/>
          <w:b/>
          <w:kern w:val="2"/>
          <w:lang w:bidi="ar"/>
        </w:rPr>
        <w:t>详细内容可到高青县自然资源局咨询，咨询电话：0533-6967741。凡是对以上内容有意见和建议的，可在公示有效期内提出书面意见，并留下相应联系方式，逾期提出的，视为放弃上述权利。</w:t>
      </w:r>
    </w:p>
    <w:p>
      <w:pPr>
        <w:pStyle w:val="5"/>
        <w:shd w:val="clear" w:color="auto" w:fill="FFFFFF"/>
        <w:spacing w:before="0" w:beforeAutospacing="0" w:after="0" w:afterAutospacing="0" w:line="360" w:lineRule="auto"/>
        <w:ind w:firstLine="480"/>
        <w:rPr>
          <w:rFonts w:cs="Times New Roman"/>
          <w:kern w:val="2"/>
          <w:lang w:bidi="ar"/>
        </w:rPr>
      </w:pPr>
      <w:r>
        <w:rPr>
          <w:rFonts w:hint="eastAsia" w:cs="Times New Roman"/>
          <w:kern w:val="2"/>
          <w:lang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60935"/>
    <w:multiLevelType w:val="multilevel"/>
    <w:tmpl w:val="40E60935"/>
    <w:lvl w:ilvl="0" w:tentative="0">
      <w:start w:val="1"/>
      <w:numFmt w:val="decimal"/>
      <w:lvlText w:val="%1."/>
      <w:lvlJc w:val="left"/>
      <w:pPr>
        <w:ind w:left="900" w:hanging="420"/>
      </w:pPr>
      <w:rPr>
        <w:rFonts w:hint="default"/>
      </w:rPr>
    </w:lvl>
    <w:lvl w:ilvl="1" w:tentative="0">
      <w:start w:val="9"/>
      <w:numFmt w:val="bullet"/>
      <w:lvlText w:val="●"/>
      <w:lvlJc w:val="left"/>
      <w:pPr>
        <w:ind w:left="1380" w:hanging="480"/>
      </w:pPr>
      <w:rPr>
        <w:rFonts w:hint="eastAsia" w:ascii="宋体" w:hAnsi="宋体"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MjY3Zjg0NjVjN2E0NWI4ODg2OWQ3NTkzN2NhNDEifQ=="/>
  </w:docVars>
  <w:rsids>
    <w:rsidRoot w:val="00F431DE"/>
    <w:rsid w:val="00027C9B"/>
    <w:rsid w:val="00075362"/>
    <w:rsid w:val="000A2AF6"/>
    <w:rsid w:val="000B4684"/>
    <w:rsid w:val="000C381C"/>
    <w:rsid w:val="001178EE"/>
    <w:rsid w:val="00126E87"/>
    <w:rsid w:val="00197ACD"/>
    <w:rsid w:val="001B6AFB"/>
    <w:rsid w:val="00242382"/>
    <w:rsid w:val="00247ED8"/>
    <w:rsid w:val="002643BC"/>
    <w:rsid w:val="00264532"/>
    <w:rsid w:val="00276C2A"/>
    <w:rsid w:val="002A4CDA"/>
    <w:rsid w:val="002B7386"/>
    <w:rsid w:val="002D1EFF"/>
    <w:rsid w:val="002E135C"/>
    <w:rsid w:val="002F36CB"/>
    <w:rsid w:val="003018AC"/>
    <w:rsid w:val="003251F4"/>
    <w:rsid w:val="003301A6"/>
    <w:rsid w:val="003C46A2"/>
    <w:rsid w:val="0043565D"/>
    <w:rsid w:val="00443706"/>
    <w:rsid w:val="00485542"/>
    <w:rsid w:val="004C569B"/>
    <w:rsid w:val="0051083C"/>
    <w:rsid w:val="00530620"/>
    <w:rsid w:val="00537B17"/>
    <w:rsid w:val="00543FD3"/>
    <w:rsid w:val="005B0E91"/>
    <w:rsid w:val="0062599C"/>
    <w:rsid w:val="00705FA6"/>
    <w:rsid w:val="007145EC"/>
    <w:rsid w:val="007C3221"/>
    <w:rsid w:val="007D661E"/>
    <w:rsid w:val="007E7A82"/>
    <w:rsid w:val="007F2093"/>
    <w:rsid w:val="00831249"/>
    <w:rsid w:val="008706CB"/>
    <w:rsid w:val="008845BF"/>
    <w:rsid w:val="00986271"/>
    <w:rsid w:val="00A21D5A"/>
    <w:rsid w:val="00A24262"/>
    <w:rsid w:val="00A838AD"/>
    <w:rsid w:val="00B11B31"/>
    <w:rsid w:val="00B967F7"/>
    <w:rsid w:val="00BD32CE"/>
    <w:rsid w:val="00BD7C57"/>
    <w:rsid w:val="00C01A08"/>
    <w:rsid w:val="00C14C97"/>
    <w:rsid w:val="00C2113F"/>
    <w:rsid w:val="00C73C9E"/>
    <w:rsid w:val="00C86CFD"/>
    <w:rsid w:val="00D4414A"/>
    <w:rsid w:val="00D54488"/>
    <w:rsid w:val="00D57C9A"/>
    <w:rsid w:val="00D96051"/>
    <w:rsid w:val="00DD0C81"/>
    <w:rsid w:val="00DE10F3"/>
    <w:rsid w:val="00DF2CE4"/>
    <w:rsid w:val="00E03C71"/>
    <w:rsid w:val="00E10AB7"/>
    <w:rsid w:val="00E27DD2"/>
    <w:rsid w:val="00E40A2C"/>
    <w:rsid w:val="00EA7057"/>
    <w:rsid w:val="00EB0CAD"/>
    <w:rsid w:val="00F11C11"/>
    <w:rsid w:val="00F431DE"/>
    <w:rsid w:val="00F9334C"/>
    <w:rsid w:val="30B60EC8"/>
    <w:rsid w:val="30D02709"/>
    <w:rsid w:val="33E85B05"/>
    <w:rsid w:val="35AB32A6"/>
    <w:rsid w:val="3E1D0CF5"/>
    <w:rsid w:val="422C3DC8"/>
    <w:rsid w:val="64D86DD0"/>
    <w:rsid w:val="6B8F6077"/>
    <w:rsid w:val="73731B1E"/>
    <w:rsid w:val="75DD1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nhideWhenUsed/>
    <w:qFormat/>
    <w:uiPriority w:val="0"/>
    <w:rPr>
      <w:rFonts w:ascii="宋体" w:hAnsi="Courier New" w:eastAsia="宋体" w:cs="宋体"/>
      <w:sz w:val="28"/>
      <w:szCs w:val="2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纯文本 Char"/>
    <w:basedOn w:val="7"/>
    <w:link w:val="2"/>
    <w:qFormat/>
    <w:uiPriority w:val="0"/>
    <w:rPr>
      <w:rFonts w:ascii="宋体" w:hAnsi="Courier New" w:eastAsia="宋体" w:cs="宋体"/>
      <w:sz w:val="28"/>
      <w:szCs w:val="28"/>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paragraph" w:customStyle="1" w:styleId="11">
    <w:name w:val="正文文本1"/>
    <w:basedOn w:val="1"/>
    <w:qFormat/>
    <w:uiPriority w:val="0"/>
    <w:pPr>
      <w:spacing w:line="408" w:lineRule="auto"/>
      <w:ind w:firstLine="400"/>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ompany>
  <Pages>3</Pages>
  <Words>1552</Words>
  <Characters>1780</Characters>
  <Lines>12</Lines>
  <Paragraphs>3</Paragraphs>
  <TotalTime>75</TotalTime>
  <ScaleCrop>false</ScaleCrop>
  <LinksUpToDate>false</LinksUpToDate>
  <CharactersWithSpaces>1791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2021-08-10T06:46:00Z</dcterms:created>
  <dc:creator>张先森</dc:creator>
  <cp:lastModifiedBy>Administrator</cp:lastModifiedBy>
  <dcterms:modified xsi:type="dcterms:W3CDTF">2023-01-19T10:05:31Z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47BBD288B3ED48A8BB2C5D35B405E72F</vt:lpwstr>
  </property>
</Properties>
</file>