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sz w:val="44"/>
          <w:szCs w:val="44"/>
        </w:rPr>
      </w:pPr>
      <w:r>
        <w:rPr>
          <w:rFonts w:hint="eastAsia" w:ascii="仿宋" w:hAnsi="仿宋" w:eastAsia="仿宋" w:cs="宋体"/>
          <w:sz w:val="44"/>
          <w:szCs w:val="44"/>
        </w:rPr>
        <w:t>《高青县城区停车场设施专项规划》</w:t>
      </w:r>
    </w:p>
    <w:p>
      <w:pPr>
        <w:jc w:val="center"/>
        <w:rPr>
          <w:rFonts w:ascii="仿宋" w:hAnsi="仿宋" w:eastAsia="仿宋" w:cs="宋体"/>
          <w:sz w:val="44"/>
          <w:szCs w:val="44"/>
        </w:rPr>
      </w:pPr>
      <w:r>
        <w:rPr>
          <w:rFonts w:hint="eastAsia" w:ascii="仿宋" w:hAnsi="仿宋" w:eastAsia="仿宋" w:cs="宋体"/>
          <w:sz w:val="44"/>
          <w:szCs w:val="44"/>
        </w:rPr>
        <w:t>批前公示</w:t>
      </w:r>
    </w:p>
    <w:p>
      <w:pPr>
        <w:spacing w:line="600" w:lineRule="exact"/>
        <w:jc w:val="center"/>
        <w:rPr>
          <w:rFonts w:ascii="仿宋" w:hAnsi="仿宋" w:eastAsia="仿宋" w:cs="宋体"/>
          <w:sz w:val="44"/>
          <w:szCs w:val="44"/>
        </w:rPr>
      </w:pPr>
    </w:p>
    <w:p>
      <w:pPr>
        <w:numPr>
          <w:ilvl w:val="0"/>
          <w:numId w:val="1"/>
        </w:numPr>
        <w:spacing w:line="600" w:lineRule="exact"/>
        <w:rPr>
          <w:rFonts w:ascii="仿宋" w:hAnsi="仿宋" w:eastAsia="仿宋"/>
          <w:sz w:val="32"/>
          <w:szCs w:val="32"/>
        </w:rPr>
      </w:pPr>
      <w:r>
        <w:rPr>
          <w:rFonts w:hint="eastAsia" w:ascii="仿宋" w:hAnsi="仿宋" w:eastAsia="仿宋"/>
          <w:sz w:val="32"/>
          <w:szCs w:val="32"/>
        </w:rPr>
        <w:t>规划简介</w:t>
      </w:r>
    </w:p>
    <w:p>
      <w:pPr>
        <w:spacing w:line="600" w:lineRule="exact"/>
        <w:ind w:left="645"/>
        <w:rPr>
          <w:rFonts w:ascii="仿宋" w:hAnsi="仿宋" w:eastAsia="仿宋"/>
          <w:sz w:val="32"/>
          <w:szCs w:val="32"/>
        </w:rPr>
      </w:pPr>
      <w:r>
        <w:rPr>
          <w:rFonts w:hint="eastAsia" w:ascii="仿宋" w:hAnsi="仿宋" w:eastAsia="仿宋"/>
          <w:sz w:val="32"/>
          <w:szCs w:val="32"/>
        </w:rPr>
        <w:t>（一）规划范围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本次规划范围是高青县城，即《高青县县城总体规划（</w:t>
      </w:r>
      <w:r>
        <w:rPr>
          <w:rFonts w:ascii="仿宋" w:hAnsi="仿宋" w:eastAsia="仿宋"/>
          <w:sz w:val="32"/>
          <w:szCs w:val="32"/>
        </w:rPr>
        <w:t>2022</w:t>
      </w:r>
      <w:r>
        <w:rPr>
          <w:rFonts w:hint="eastAsia" w:ascii="仿宋" w:hAnsi="仿宋" w:eastAsia="仿宋"/>
          <w:sz w:val="32"/>
          <w:szCs w:val="32"/>
        </w:rPr>
        <w:t>-2035年）》界定的城市规划建设用地范围。</w:t>
      </w:r>
    </w:p>
    <w:p>
      <w:pPr>
        <w:spacing w:line="600" w:lineRule="exact"/>
        <w:ind w:left="645"/>
        <w:rPr>
          <w:rFonts w:ascii="仿宋" w:hAnsi="仿宋" w:eastAsia="仿宋"/>
          <w:sz w:val="32"/>
          <w:szCs w:val="32"/>
        </w:rPr>
      </w:pPr>
      <w:r>
        <w:rPr>
          <w:rFonts w:hint="eastAsia" w:ascii="仿宋" w:hAnsi="仿宋" w:eastAsia="仿宋"/>
          <w:sz w:val="32"/>
          <w:szCs w:val="32"/>
        </w:rPr>
        <w:t>（二）规划依据</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中华人民共和国城乡规划法</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2.《中华人民共和国道路交通安全法》</w:t>
      </w:r>
    </w:p>
    <w:p>
      <w:pPr>
        <w:spacing w:line="600" w:lineRule="exact"/>
        <w:ind w:firstLine="640" w:firstLineChars="200"/>
        <w:rPr>
          <w:rFonts w:ascii="仿宋" w:hAnsi="仿宋" w:eastAsia="仿宋"/>
          <w:sz w:val="32"/>
          <w:szCs w:val="32"/>
        </w:rPr>
      </w:pPr>
      <w:r>
        <w:rPr>
          <w:rFonts w:ascii="仿宋" w:hAnsi="仿宋" w:eastAsia="仿宋"/>
          <w:sz w:val="32"/>
          <w:szCs w:val="32"/>
        </w:rPr>
        <w:t>3.《停车场建设和管理暂行规定》（公安部、建设部，1988）</w:t>
      </w:r>
    </w:p>
    <w:p>
      <w:pPr>
        <w:spacing w:line="600" w:lineRule="exact"/>
        <w:ind w:firstLine="640" w:firstLineChars="200"/>
        <w:rPr>
          <w:rFonts w:ascii="仿宋" w:hAnsi="仿宋" w:eastAsia="仿宋"/>
          <w:sz w:val="32"/>
          <w:szCs w:val="32"/>
        </w:rPr>
      </w:pPr>
      <w:r>
        <w:rPr>
          <w:rFonts w:ascii="仿宋" w:hAnsi="仿宋" w:eastAsia="仿宋"/>
          <w:sz w:val="32"/>
          <w:szCs w:val="32"/>
        </w:rPr>
        <w:t>4.《关于加强城市停车设施建设的指导意见》（发改基础【2015】1788号）</w:t>
      </w:r>
    </w:p>
    <w:p>
      <w:pPr>
        <w:spacing w:line="600" w:lineRule="exact"/>
        <w:ind w:firstLine="640" w:firstLineChars="200"/>
        <w:rPr>
          <w:rFonts w:ascii="仿宋" w:hAnsi="仿宋" w:eastAsia="仿宋"/>
          <w:sz w:val="32"/>
          <w:szCs w:val="32"/>
        </w:rPr>
      </w:pPr>
      <w:r>
        <w:rPr>
          <w:rFonts w:ascii="仿宋" w:hAnsi="仿宋" w:eastAsia="仿宋"/>
          <w:sz w:val="32"/>
          <w:szCs w:val="32"/>
        </w:rPr>
        <w:t>4.《城市停车设施规划导则》（住房</w:t>
      </w:r>
      <w:r>
        <w:rPr>
          <w:rFonts w:hint="eastAsia" w:ascii="仿宋" w:hAnsi="仿宋" w:eastAsia="仿宋"/>
          <w:sz w:val="32"/>
          <w:szCs w:val="32"/>
          <w:lang w:val="en-US" w:eastAsia="zh-CN"/>
        </w:rPr>
        <w:t>和</w:t>
      </w:r>
      <w:bookmarkStart w:id="0" w:name="_GoBack"/>
      <w:bookmarkEnd w:id="0"/>
      <w:r>
        <w:rPr>
          <w:rFonts w:ascii="仿宋" w:hAnsi="仿宋" w:eastAsia="仿宋"/>
          <w:sz w:val="32"/>
          <w:szCs w:val="32"/>
        </w:rPr>
        <w:t>城乡建设部2015.09.12）</w:t>
      </w:r>
    </w:p>
    <w:p>
      <w:pPr>
        <w:spacing w:line="600" w:lineRule="exact"/>
        <w:ind w:firstLine="640" w:firstLineChars="200"/>
        <w:rPr>
          <w:rFonts w:ascii="仿宋" w:hAnsi="仿宋" w:eastAsia="仿宋"/>
          <w:sz w:val="32"/>
          <w:szCs w:val="32"/>
        </w:rPr>
      </w:pPr>
      <w:r>
        <w:rPr>
          <w:rFonts w:ascii="仿宋" w:hAnsi="仿宋" w:eastAsia="仿宋"/>
          <w:sz w:val="32"/>
          <w:szCs w:val="32"/>
        </w:rPr>
        <w:t>5.《停车场规划设计规则》（公安部、建设部，1988）</w:t>
      </w:r>
    </w:p>
    <w:p>
      <w:pPr>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城市综合交通体系规划标准</w:t>
      </w:r>
      <w:r>
        <w:rPr>
          <w:rFonts w:ascii="仿宋" w:hAnsi="仿宋" w:eastAsia="仿宋"/>
          <w:sz w:val="32"/>
          <w:szCs w:val="32"/>
        </w:rPr>
        <w:t>》（GBT51328-2018）</w:t>
      </w:r>
    </w:p>
    <w:p>
      <w:pPr>
        <w:spacing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城市居住区规划设计标准</w:t>
      </w:r>
      <w:r>
        <w:rPr>
          <w:rFonts w:ascii="仿宋" w:hAnsi="仿宋" w:eastAsia="仿宋"/>
          <w:sz w:val="32"/>
          <w:szCs w:val="32"/>
        </w:rPr>
        <w:t>》（GB50180-2018）</w:t>
      </w:r>
    </w:p>
    <w:p>
      <w:pPr>
        <w:spacing w:line="600" w:lineRule="exact"/>
        <w:ind w:firstLine="640" w:firstLineChars="200"/>
        <w:rPr>
          <w:rFonts w:ascii="仿宋" w:hAnsi="仿宋" w:eastAsia="仿宋"/>
          <w:sz w:val="32"/>
          <w:szCs w:val="32"/>
        </w:rPr>
      </w:pPr>
      <w:r>
        <w:rPr>
          <w:rFonts w:ascii="仿宋" w:hAnsi="仿宋" w:eastAsia="仿宋"/>
          <w:sz w:val="32"/>
          <w:szCs w:val="32"/>
        </w:rPr>
        <w:t>8.《山东省城市公共停车场(库)设置规定（试行）》（鲁建规字[2010]3号）</w:t>
      </w:r>
    </w:p>
    <w:p>
      <w:pPr>
        <w:spacing w:line="600" w:lineRule="exact"/>
        <w:ind w:firstLine="640" w:firstLineChars="200"/>
        <w:rPr>
          <w:rFonts w:ascii="仿宋" w:hAnsi="仿宋" w:eastAsia="仿宋"/>
          <w:sz w:val="32"/>
          <w:szCs w:val="32"/>
        </w:rPr>
      </w:pPr>
      <w:r>
        <w:rPr>
          <w:rFonts w:ascii="仿宋" w:hAnsi="仿宋" w:eastAsia="仿宋"/>
          <w:sz w:val="32"/>
          <w:szCs w:val="32"/>
        </w:rPr>
        <w:t>9.《城市建设项目配建停车位设置规范》DBJ14-070-2010（鲁建标字[2010]26号）</w:t>
      </w:r>
    </w:p>
    <w:p>
      <w:pPr>
        <w:spacing w:line="600" w:lineRule="exact"/>
        <w:ind w:firstLine="640" w:firstLineChars="200"/>
        <w:rPr>
          <w:rFonts w:ascii="仿宋" w:hAnsi="仿宋" w:eastAsia="仿宋"/>
          <w:sz w:val="32"/>
          <w:szCs w:val="32"/>
        </w:rPr>
      </w:pPr>
      <w:r>
        <w:rPr>
          <w:rFonts w:ascii="仿宋" w:hAnsi="仿宋" w:eastAsia="仿宋"/>
          <w:sz w:val="32"/>
          <w:szCs w:val="32"/>
        </w:rPr>
        <w:t>10.《淄博市城市总体规划（2011-2020年）》</w:t>
      </w:r>
    </w:p>
    <w:p>
      <w:pPr>
        <w:spacing w:line="600" w:lineRule="exact"/>
        <w:ind w:firstLine="640" w:firstLineChars="200"/>
        <w:rPr>
          <w:rFonts w:ascii="仿宋" w:hAnsi="仿宋" w:eastAsia="仿宋"/>
          <w:sz w:val="32"/>
          <w:szCs w:val="32"/>
        </w:rPr>
      </w:pPr>
      <w:r>
        <w:rPr>
          <w:rFonts w:ascii="仿宋" w:hAnsi="仿宋" w:eastAsia="仿宋"/>
          <w:sz w:val="32"/>
          <w:szCs w:val="32"/>
        </w:rPr>
        <w:t>11.《淄博市城市综合交通规划》（2007-2020年）</w:t>
      </w:r>
    </w:p>
    <w:p>
      <w:pPr>
        <w:spacing w:line="600" w:lineRule="exact"/>
        <w:ind w:firstLine="640" w:firstLineChars="200"/>
        <w:rPr>
          <w:rFonts w:ascii="仿宋" w:hAnsi="仿宋" w:eastAsia="仿宋"/>
          <w:sz w:val="32"/>
          <w:szCs w:val="32"/>
        </w:rPr>
      </w:pPr>
      <w:r>
        <w:rPr>
          <w:rFonts w:ascii="仿宋" w:hAnsi="仿宋" w:eastAsia="仿宋"/>
          <w:sz w:val="32"/>
          <w:szCs w:val="32"/>
        </w:rPr>
        <w:t>12.《淄博市城市规划管理技术规定》淄政发【2005】106号</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《高青县县城总体规划（2018-2035年）》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14.《高青县综合交通规划》</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高青县城市道路交通工程专项规划（2015-2020）</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、其他</w:t>
      </w:r>
    </w:p>
    <w:p>
      <w:pPr>
        <w:spacing w:line="600" w:lineRule="exact"/>
        <w:ind w:left="645"/>
        <w:rPr>
          <w:rFonts w:ascii="仿宋" w:hAnsi="仿宋" w:eastAsia="仿宋"/>
          <w:sz w:val="32"/>
          <w:szCs w:val="32"/>
        </w:rPr>
      </w:pPr>
      <w:r>
        <w:rPr>
          <w:rFonts w:hint="eastAsia" w:ascii="仿宋" w:hAnsi="仿宋" w:eastAsia="仿宋"/>
          <w:sz w:val="32"/>
          <w:szCs w:val="32"/>
        </w:rPr>
        <w:t>（三）规划内容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依据《高青县县城总体规划（2018—2035年）》（批复稿）和相关规范，本规划结合高青县城区区位功能与空间特点，确定停车分区及供需关系；在规划范围内预测停车位数量及指标；根据预测结合高青县实际情况提出路外及路内停车位及数量的规划分布；并结合公共交通提出公共停车场的数量及分布。</w:t>
      </w:r>
    </w:p>
    <w:p>
      <w:pPr>
        <w:numPr>
          <w:ilvl w:val="0"/>
          <w:numId w:val="1"/>
        </w:numPr>
        <w:spacing w:line="600" w:lineRule="exact"/>
        <w:rPr>
          <w:rFonts w:ascii="仿宋" w:hAnsi="仿宋" w:eastAsia="仿宋"/>
          <w:color w:val="FF0000"/>
          <w:sz w:val="32"/>
          <w:szCs w:val="32"/>
        </w:rPr>
      </w:pPr>
      <w:r>
        <w:rPr>
          <w:rFonts w:hint="eastAsia" w:ascii="仿宋" w:hAnsi="仿宋" w:eastAsia="仿宋"/>
          <w:color w:val="FF0000"/>
          <w:sz w:val="32"/>
          <w:szCs w:val="32"/>
        </w:rPr>
        <w:t>公示时间：2</w:t>
      </w:r>
      <w:r>
        <w:rPr>
          <w:rFonts w:ascii="仿宋" w:hAnsi="仿宋" w:eastAsia="仿宋"/>
          <w:color w:val="FF0000"/>
          <w:sz w:val="32"/>
          <w:szCs w:val="32"/>
        </w:rPr>
        <w:t>022</w:t>
      </w:r>
      <w:r>
        <w:rPr>
          <w:rFonts w:hint="eastAsia" w:ascii="仿宋" w:hAnsi="仿宋" w:eastAsia="仿宋"/>
          <w:color w:val="FF0000"/>
          <w:sz w:val="32"/>
          <w:szCs w:val="32"/>
        </w:rPr>
        <w:t>年</w:t>
      </w:r>
      <w:r>
        <w:rPr>
          <w:rFonts w:ascii="仿宋" w:hAnsi="仿宋" w:eastAsia="仿宋"/>
          <w:color w:val="FF0000"/>
          <w:sz w:val="32"/>
          <w:szCs w:val="32"/>
        </w:rPr>
        <w:t>9</w:t>
      </w:r>
      <w:r>
        <w:rPr>
          <w:rFonts w:hint="eastAsia" w:ascii="仿宋" w:hAnsi="仿宋" w:eastAsia="仿宋"/>
          <w:color w:val="FF0000"/>
          <w:sz w:val="32"/>
          <w:szCs w:val="32"/>
        </w:rPr>
        <w:t>月</w:t>
      </w:r>
      <w:r>
        <w:rPr>
          <w:rFonts w:ascii="仿宋" w:hAnsi="仿宋" w:eastAsia="仿宋"/>
          <w:color w:val="FF0000"/>
          <w:sz w:val="32"/>
          <w:szCs w:val="32"/>
        </w:rPr>
        <w:t>2</w:t>
      </w:r>
      <w:r>
        <w:rPr>
          <w:rFonts w:hint="eastAsia" w:ascii="仿宋" w:hAnsi="仿宋" w:eastAsia="仿宋"/>
          <w:color w:val="FF0000"/>
          <w:sz w:val="32"/>
          <w:szCs w:val="32"/>
        </w:rPr>
        <w:t>日至2</w:t>
      </w:r>
      <w:r>
        <w:rPr>
          <w:rFonts w:ascii="仿宋" w:hAnsi="仿宋" w:eastAsia="仿宋"/>
          <w:color w:val="FF0000"/>
          <w:sz w:val="32"/>
          <w:szCs w:val="32"/>
        </w:rPr>
        <w:t>022</w:t>
      </w:r>
      <w:r>
        <w:rPr>
          <w:rFonts w:hint="eastAsia" w:ascii="仿宋" w:hAnsi="仿宋" w:eastAsia="仿宋"/>
          <w:color w:val="FF0000"/>
          <w:sz w:val="32"/>
          <w:szCs w:val="32"/>
        </w:rPr>
        <w:t>年</w:t>
      </w:r>
      <w:r>
        <w:rPr>
          <w:rFonts w:ascii="仿宋" w:hAnsi="仿宋" w:eastAsia="仿宋"/>
          <w:color w:val="FF0000"/>
          <w:sz w:val="32"/>
          <w:szCs w:val="32"/>
        </w:rPr>
        <w:t>8</w:t>
      </w:r>
      <w:r>
        <w:rPr>
          <w:rFonts w:hint="eastAsia" w:ascii="仿宋" w:hAnsi="仿宋" w:eastAsia="仿宋"/>
          <w:color w:val="FF0000"/>
          <w:sz w:val="32"/>
          <w:szCs w:val="32"/>
        </w:rPr>
        <w:t>月</w:t>
      </w:r>
      <w:r>
        <w:rPr>
          <w:rFonts w:ascii="仿宋" w:hAnsi="仿宋" w:eastAsia="仿宋"/>
          <w:color w:val="FF0000"/>
          <w:sz w:val="32"/>
          <w:szCs w:val="32"/>
        </w:rPr>
        <w:t>3</w:t>
      </w:r>
      <w:r>
        <w:rPr>
          <w:rFonts w:hint="eastAsia" w:ascii="仿宋" w:hAnsi="仿宋" w:eastAsia="仿宋"/>
          <w:color w:val="FF0000"/>
          <w:sz w:val="32"/>
          <w:szCs w:val="32"/>
        </w:rPr>
        <w:t>日</w:t>
      </w:r>
    </w:p>
    <w:p>
      <w:pPr>
        <w:numPr>
          <w:ilvl w:val="0"/>
          <w:numId w:val="1"/>
        </w:numPr>
        <w:spacing w:line="600" w:lineRule="exact"/>
        <w:rPr>
          <w:rFonts w:ascii="仿宋" w:hAnsi="仿宋" w:eastAsia="仿宋"/>
          <w:sz w:val="32"/>
          <w:szCs w:val="32"/>
        </w:rPr>
      </w:pPr>
      <w:r>
        <w:rPr>
          <w:rFonts w:hint="eastAsia" w:ascii="仿宋" w:hAnsi="仿宋" w:eastAsia="仿宋"/>
          <w:sz w:val="32"/>
          <w:szCs w:val="32"/>
        </w:rPr>
        <w:t>公示方式及地点：高青县人民政府网</w:t>
      </w:r>
    </w:p>
    <w:p>
      <w:pPr>
        <w:numPr>
          <w:ilvl w:val="0"/>
          <w:numId w:val="1"/>
        </w:numPr>
        <w:spacing w:line="600" w:lineRule="exact"/>
        <w:rPr>
          <w:rFonts w:ascii="仿宋" w:hAnsi="仿宋" w:eastAsia="仿宋"/>
          <w:sz w:val="32"/>
          <w:szCs w:val="32"/>
        </w:rPr>
      </w:pPr>
      <w:r>
        <w:rPr>
          <w:rFonts w:hint="eastAsia" w:ascii="仿宋" w:hAnsi="仿宋" w:eastAsia="仿宋"/>
          <w:sz w:val="32"/>
          <w:szCs w:val="32"/>
        </w:rPr>
        <w:t>意见受理地址：高苑路2</w:t>
      </w:r>
      <w:r>
        <w:rPr>
          <w:rFonts w:ascii="仿宋" w:hAnsi="仿宋" w:eastAsia="仿宋"/>
          <w:sz w:val="32"/>
          <w:szCs w:val="32"/>
        </w:rPr>
        <w:t>2</w:t>
      </w:r>
      <w:r>
        <w:rPr>
          <w:rFonts w:hint="eastAsia" w:ascii="仿宋" w:hAnsi="仿宋" w:eastAsia="仿宋"/>
          <w:sz w:val="32"/>
          <w:szCs w:val="32"/>
        </w:rPr>
        <w:t>号 高青县自然资源局</w:t>
      </w:r>
    </w:p>
    <w:p>
      <w:pPr>
        <w:numPr>
          <w:ilvl w:val="0"/>
          <w:numId w:val="1"/>
        </w:numPr>
        <w:spacing w:line="600" w:lineRule="exact"/>
        <w:rPr>
          <w:rFonts w:ascii="仿宋" w:hAnsi="仿宋" w:eastAsia="仿宋"/>
          <w:sz w:val="32"/>
          <w:szCs w:val="32"/>
        </w:rPr>
      </w:pPr>
      <w:r>
        <w:rPr>
          <w:rFonts w:hint="eastAsia" w:ascii="仿宋" w:hAnsi="仿宋" w:eastAsia="仿宋"/>
          <w:sz w:val="32"/>
          <w:szCs w:val="32"/>
        </w:rPr>
        <w:t>意见受理电话：0533-696</w:t>
      </w:r>
      <w:r>
        <w:rPr>
          <w:rFonts w:ascii="仿宋" w:hAnsi="仿宋" w:eastAsia="仿宋"/>
          <w:sz w:val="32"/>
          <w:szCs w:val="32"/>
        </w:rPr>
        <w:t>7741</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详细内容可到高青县自然资源局咨询，咨询电话：0533-696</w:t>
      </w:r>
      <w:r>
        <w:rPr>
          <w:rFonts w:ascii="仿宋" w:hAnsi="仿宋" w:eastAsia="仿宋"/>
          <w:sz w:val="32"/>
          <w:szCs w:val="32"/>
        </w:rPr>
        <w:t>7741</w:t>
      </w:r>
      <w:r>
        <w:rPr>
          <w:rFonts w:hint="eastAsia" w:ascii="仿宋" w:hAnsi="仿宋" w:eastAsia="仿宋"/>
          <w:sz w:val="32"/>
          <w:szCs w:val="32"/>
        </w:rPr>
        <w:t>。凡是对以上内容有意见和建议的，可在公示有效期内提出书面意见，并留下相应联系方式，逾期提出的，视为放弃上述权利。</w:t>
      </w:r>
    </w:p>
    <w:p>
      <w:pPr>
        <w:spacing w:line="600" w:lineRule="exact"/>
        <w:rPr>
          <w:rFonts w:ascii="仿宋" w:hAnsi="仿宋" w:eastAsia="仿宋"/>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E39E1"/>
    <w:multiLevelType w:val="multilevel"/>
    <w:tmpl w:val="281E39E1"/>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NDljNmFiMzFkY2ZjZmQ4N2MzMDQyM2Q3NzlkMzMifQ=="/>
  </w:docVars>
  <w:rsids>
    <w:rsidRoot w:val="5DEA3277"/>
    <w:rsid w:val="00047B95"/>
    <w:rsid w:val="00203BEB"/>
    <w:rsid w:val="00230114"/>
    <w:rsid w:val="002930E3"/>
    <w:rsid w:val="00642C99"/>
    <w:rsid w:val="006D37B1"/>
    <w:rsid w:val="009D12D0"/>
    <w:rsid w:val="00AE5F1A"/>
    <w:rsid w:val="00BC6117"/>
    <w:rsid w:val="00BE116E"/>
    <w:rsid w:val="00C0001E"/>
    <w:rsid w:val="00C709BE"/>
    <w:rsid w:val="00D12D93"/>
    <w:rsid w:val="00DC16F3"/>
    <w:rsid w:val="5DEA3277"/>
    <w:rsid w:val="63E959BA"/>
    <w:rsid w:val="6B3D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heme="minorHAnsi" w:hAnsiTheme="minorHAnsi" w:eastAsiaTheme="minorEastAsia"/>
      <w:b/>
      <w:kern w:val="44"/>
      <w:sz w:val="44"/>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135</Words>
  <Characters>772</Characters>
  <Lines>6</Lines>
  <Paragraphs>1</Paragraphs>
  <TotalTime>3</TotalTime>
  <ScaleCrop>false</ScaleCrop>
  <LinksUpToDate>false</LinksUpToDate>
  <CharactersWithSpaces>906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2022-08-29T09:31:00Z</dcterms:created>
  <dc:creator>流年、</dc:creator>
  <cp:lastModifiedBy>Administrator</cp:lastModifiedBy>
  <dcterms:modified xsi:type="dcterms:W3CDTF">2023-11-17T01:49:58Z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A0EBC83946FD41BA985A731E2DA0BFED</vt:lpwstr>
  </property>
</Properties>
</file>