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1" w:line="218" w:lineRule="auto"/>
        <w:ind w:left="2954"/>
        <w:jc w:val="both"/>
        <w:rPr>
          <w:rFonts w:ascii="宋体" w:hAnsi="宋体" w:eastAsia="宋体" w:cs="宋体"/>
          <w:sz w:val="32"/>
          <w:szCs w:val="32"/>
        </w:rPr>
      </w:pPr>
      <w:r>
        <w:rPr>
          <w:rFonts w:ascii="宋体" w:hAnsi="宋体" w:eastAsia="宋体" w:cs="宋体"/>
          <w:b/>
          <w:bCs/>
          <w:spacing w:val="-10"/>
          <w:sz w:val="32"/>
          <w:szCs w:val="32"/>
        </w:rPr>
        <w:t>高青县人民政府征收土地公告</w:t>
      </w:r>
    </w:p>
    <w:p>
      <w:pPr>
        <w:spacing w:before="84" w:line="225" w:lineRule="auto"/>
        <w:jc w:val="center"/>
        <w:rPr>
          <w:rFonts w:ascii="楷体" w:hAnsi="楷体" w:eastAsia="楷体" w:cs="楷体"/>
          <w:sz w:val="32"/>
          <w:szCs w:val="32"/>
        </w:rPr>
      </w:pPr>
      <w:r>
        <w:rPr>
          <w:rFonts w:ascii="楷体" w:hAnsi="楷体" w:eastAsia="楷体" w:cs="楷体"/>
          <w:sz w:val="32"/>
          <w:szCs w:val="32"/>
        </w:rPr>
        <w:t>高征公告〔2023〕11号</w:t>
      </w:r>
    </w:p>
    <w:p>
      <w:pPr>
        <w:spacing w:before="84" w:line="225" w:lineRule="auto"/>
        <w:jc w:val="center"/>
        <w:rPr>
          <w:rFonts w:ascii="楷体" w:hAnsi="楷体" w:eastAsia="楷体" w:cs="楷体"/>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8" w:firstLineChars="200"/>
        <w:textAlignment w:val="baseline"/>
        <w:rPr>
          <w:rFonts w:ascii="黑体" w:hAnsi="黑体" w:eastAsia="黑体" w:cs="黑体"/>
          <w:sz w:val="32"/>
          <w:szCs w:val="32"/>
        </w:rPr>
      </w:pPr>
      <w:r>
        <w:rPr>
          <w:rFonts w:hint="eastAsia" w:ascii="仿宋_GB2312" w:hAnsi="仿宋_GB2312" w:eastAsia="仿宋_GB2312" w:cs="仿宋_GB2312"/>
          <w:spacing w:val="12"/>
          <w:sz w:val="32"/>
          <w:szCs w:val="32"/>
        </w:rPr>
        <w:t>2023年7月7日，高青县2023年第11批次建设用地业经山东省人民</w:t>
      </w:r>
      <w:r>
        <w:rPr>
          <w:rFonts w:hint="eastAsia" w:ascii="仿宋_GB2312" w:hAnsi="仿宋_GB2312" w:eastAsia="仿宋_GB2312" w:cs="仿宋_GB2312"/>
          <w:spacing w:val="11"/>
          <w:sz w:val="32"/>
          <w:szCs w:val="32"/>
        </w:rPr>
        <w:t>政府批准。现公告如下：</w:t>
      </w:r>
    </w:p>
    <w:p>
      <w:pPr>
        <w:keepNext w:val="0"/>
        <w:keepLines w:val="0"/>
        <w:pageBreakBefore w:val="0"/>
        <w:widowControl/>
        <w:kinsoku w:val="0"/>
        <w:wordWrap/>
        <w:overflowPunct/>
        <w:topLinePunct w:val="0"/>
        <w:autoSpaceDE w:val="0"/>
        <w:autoSpaceDN w:val="0"/>
        <w:bidi w:val="0"/>
        <w:adjustRightInd w:val="0"/>
        <w:snapToGrid w:val="0"/>
        <w:spacing w:before="122" w:line="221" w:lineRule="auto"/>
        <w:ind w:left="443" w:firstLine="647" w:firstLineChars="200"/>
        <w:textAlignment w:val="baseline"/>
        <w:outlineLvl w:val="0"/>
        <w:rPr>
          <w:rFonts w:ascii="黑体" w:hAnsi="黑体" w:eastAsia="黑体" w:cs="黑体"/>
          <w:sz w:val="32"/>
          <w:szCs w:val="32"/>
        </w:rPr>
      </w:pPr>
      <w:r>
        <w:rPr>
          <w:rFonts w:ascii="黑体" w:hAnsi="黑体" w:eastAsia="黑体" w:cs="黑体"/>
          <w:b/>
          <w:bCs/>
          <w:spacing w:val="1"/>
          <w:sz w:val="32"/>
          <w:szCs w:val="32"/>
        </w:rPr>
        <w:t>一、征地批准文件</w:t>
      </w: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8" w:firstLineChars="20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山东省人民政府以《关于高青县2023年第11批次建设用地的批复》(鲁政土字C〔2023〕24 号 )</w:t>
      </w: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8" w:firstLineChars="200"/>
        <w:textAlignment w:val="baseline"/>
        <w:rPr>
          <w:rFonts w:ascii="仿宋" w:hAnsi="仿宋" w:eastAsia="仿宋" w:cs="仿宋"/>
          <w:sz w:val="32"/>
          <w:szCs w:val="32"/>
        </w:rPr>
      </w:pPr>
      <w:r>
        <w:rPr>
          <w:rFonts w:hint="eastAsia" w:ascii="仿宋_GB2312" w:hAnsi="仿宋_GB2312" w:eastAsia="仿宋_GB2312" w:cs="仿宋_GB2312"/>
          <w:spacing w:val="12"/>
          <w:sz w:val="32"/>
          <w:szCs w:val="32"/>
        </w:rPr>
        <w:t>批准征收我县土地13.9291公顷(批复文件详见附件)。</w:t>
      </w:r>
    </w:p>
    <w:p>
      <w:pPr>
        <w:keepNext w:val="0"/>
        <w:keepLines w:val="0"/>
        <w:pageBreakBefore w:val="0"/>
        <w:widowControl/>
        <w:kinsoku w:val="0"/>
        <w:wordWrap/>
        <w:overflowPunct/>
        <w:topLinePunct w:val="0"/>
        <w:autoSpaceDE w:val="0"/>
        <w:autoSpaceDN w:val="0"/>
        <w:bidi w:val="0"/>
        <w:adjustRightInd w:val="0"/>
        <w:snapToGrid w:val="0"/>
        <w:spacing w:before="205" w:line="221" w:lineRule="auto"/>
        <w:ind w:left="443" w:firstLine="611" w:firstLineChars="200"/>
        <w:textAlignment w:val="baseline"/>
        <w:outlineLvl w:val="0"/>
        <w:rPr>
          <w:rFonts w:ascii="黑体" w:hAnsi="黑体" w:eastAsia="黑体" w:cs="黑体"/>
          <w:sz w:val="32"/>
          <w:szCs w:val="32"/>
        </w:rPr>
      </w:pPr>
      <w:r>
        <w:rPr>
          <w:rFonts w:ascii="黑体" w:hAnsi="黑体" w:eastAsia="黑体" w:cs="黑体"/>
          <w:b/>
          <w:bCs/>
          <w:spacing w:val="-8"/>
          <w:sz w:val="32"/>
          <w:szCs w:val="32"/>
        </w:rPr>
        <w:t>二、</w:t>
      </w:r>
      <w:r>
        <w:rPr>
          <w:rFonts w:ascii="黑体" w:hAnsi="黑体" w:eastAsia="黑体" w:cs="黑体"/>
          <w:spacing w:val="-54"/>
          <w:sz w:val="32"/>
          <w:szCs w:val="32"/>
        </w:rPr>
        <w:t xml:space="preserve"> </w:t>
      </w:r>
      <w:r>
        <w:rPr>
          <w:rFonts w:ascii="黑体" w:hAnsi="黑体" w:eastAsia="黑体" w:cs="黑体"/>
          <w:b/>
          <w:bCs/>
          <w:spacing w:val="-8"/>
          <w:sz w:val="32"/>
          <w:szCs w:val="32"/>
        </w:rPr>
        <w:t>征收土地的范围</w:t>
      </w: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4"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地块1位置范围：河西村土地，位于高青化工产业园，支脉河路以南、澳帆新材料有限公司以西、山东兴鲁承宏新材料科技有限公司以东。涉及的农村集体经济组织：高城镇人民政府河西村村民委员会。</w:t>
      </w:r>
    </w:p>
    <w:p>
      <w:pPr>
        <w:keepNext w:val="0"/>
        <w:keepLines w:val="0"/>
        <w:pageBreakBefore w:val="0"/>
        <w:widowControl/>
        <w:kinsoku w:val="0"/>
        <w:wordWrap/>
        <w:overflowPunct/>
        <w:topLinePunct w:val="0"/>
        <w:autoSpaceDE w:val="0"/>
        <w:autoSpaceDN w:val="0"/>
        <w:bidi w:val="0"/>
        <w:adjustRightInd w:val="0"/>
        <w:snapToGrid w:val="0"/>
        <w:spacing w:before="197" w:line="221" w:lineRule="auto"/>
        <w:ind w:left="443" w:firstLine="619" w:firstLineChars="200"/>
        <w:textAlignment w:val="baseline"/>
        <w:outlineLvl w:val="0"/>
        <w:rPr>
          <w:rFonts w:ascii="黑体" w:hAnsi="黑体" w:eastAsia="黑体" w:cs="黑体"/>
          <w:sz w:val="32"/>
          <w:szCs w:val="32"/>
        </w:rPr>
      </w:pPr>
      <w:r>
        <w:rPr>
          <w:rFonts w:ascii="黑体" w:hAnsi="黑体" w:eastAsia="黑体" w:cs="黑体"/>
          <w:b/>
          <w:bCs/>
          <w:spacing w:val="-6"/>
          <w:sz w:val="32"/>
          <w:szCs w:val="32"/>
        </w:rPr>
        <w:t>三、征收土地的位置、面积、开发用途</w:t>
      </w: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8" w:firstLineChars="20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地块1:河西村土地，位于高青化工产业园，支脉河路以南、澳帆新材料有限公司以西、山东兴鲁  承宏新材料科技有限公司以东。总面积13.9291公顷，其中：耕地5.4308公顷、乔木林地3.0658公顷、农村道路面积0.1948公顷，拟用于化工项目建设，开发用途为工业用地。</w:t>
      </w: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8" w:firstLineChars="20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(一)费用拨付。本次征收土地涉及的征地补偿安置有关费用由财政部门按照签订的征收土地补 偿安置协议约定的时间将征地补偿安置有关费用拨付到被征地农村集体经济组织账户，将地上附着 物和青苗补偿费拨付给地上附着物和青苗所有权人账户。</w:t>
      </w: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8" w:firstLineChars="20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(二)交付土地。征地补偿安置有关费用足额拨付后，相关各方及时清理地上附着物和青苗， 按照征地补偿安置协议约定的时间交付土地。</w:t>
      </w:r>
    </w:p>
    <w:p>
      <w:pPr>
        <w:keepNext w:val="0"/>
        <w:keepLines w:val="0"/>
        <w:pageBreakBefore w:val="0"/>
        <w:widowControl/>
        <w:kinsoku w:val="0"/>
        <w:wordWrap/>
        <w:overflowPunct/>
        <w:topLinePunct w:val="0"/>
        <w:autoSpaceDE w:val="0"/>
        <w:autoSpaceDN w:val="0"/>
        <w:bidi w:val="0"/>
        <w:adjustRightInd w:val="0"/>
        <w:snapToGrid w:val="0"/>
        <w:spacing w:before="85" w:line="222" w:lineRule="auto"/>
        <w:ind w:left="443" w:firstLine="587" w:firstLineChars="200"/>
        <w:textAlignment w:val="baseline"/>
        <w:outlineLvl w:val="0"/>
        <w:rPr>
          <w:rFonts w:ascii="黑体" w:hAnsi="黑体" w:eastAsia="黑体" w:cs="黑体"/>
          <w:sz w:val="32"/>
          <w:szCs w:val="32"/>
        </w:rPr>
      </w:pPr>
      <w:r>
        <w:rPr>
          <w:rFonts w:ascii="黑体" w:hAnsi="黑体" w:eastAsia="黑体" w:cs="黑体"/>
          <w:b/>
          <w:bCs/>
          <w:spacing w:val="-14"/>
          <w:sz w:val="32"/>
          <w:szCs w:val="32"/>
        </w:rPr>
        <w:t>五、其他</w:t>
      </w: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8" w:firstLineChars="20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本公告在征收土地涉及的农村集体经济组织所在地和山东省征地信息公开查询系统同时予以发布。 被征地的农村集体经济组织、村民或者相关权利人对批复文件有异议的，可依法申请行政复议。复</w:t>
      </w: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8" w:firstLineChars="20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议期间，除法定情形外，不影响征收土地的实施。</w:t>
      </w:r>
    </w:p>
    <w:p>
      <w:pPr>
        <w:keepNext w:val="0"/>
        <w:keepLines w:val="0"/>
        <w:pageBreakBefore w:val="0"/>
        <w:widowControl/>
        <w:kinsoku w:val="0"/>
        <w:wordWrap/>
        <w:overflowPunct/>
        <w:topLinePunct w:val="0"/>
        <w:autoSpaceDE w:val="0"/>
        <w:autoSpaceDN w:val="0"/>
        <w:bidi w:val="0"/>
        <w:adjustRightInd w:val="0"/>
        <w:snapToGrid w:val="0"/>
        <w:spacing w:before="143" w:line="213" w:lineRule="auto"/>
        <w:ind w:left="439" w:firstLine="688" w:firstLineChars="200"/>
        <w:textAlignment w:val="baseline"/>
        <w:rPr>
          <w:rFonts w:ascii="Arial"/>
          <w:sz w:val="32"/>
          <w:szCs w:val="32"/>
        </w:rPr>
      </w:pPr>
      <w:r>
        <w:rPr>
          <w:rFonts w:hint="eastAsia" w:ascii="仿宋_GB2312" w:hAnsi="仿宋_GB2312" w:eastAsia="仿宋_GB2312" w:cs="仿宋_GB2312"/>
          <w:spacing w:val="12"/>
          <w:sz w:val="32"/>
          <w:szCs w:val="32"/>
        </w:rPr>
        <w:t>特此公告。</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72" w:line="230" w:lineRule="auto"/>
        <w:ind w:left="439" w:firstLine="632" w:firstLineChars="200"/>
        <w:textAlignment w:val="baseline"/>
        <w:rPr>
          <w:rFonts w:ascii="仿宋" w:hAnsi="仿宋" w:eastAsia="仿宋" w:cs="仿宋"/>
          <w:sz w:val="32"/>
          <w:szCs w:val="32"/>
        </w:rPr>
      </w:pPr>
      <w:r>
        <w:rPr>
          <w:rFonts w:ascii="仿宋" w:hAnsi="仿宋" w:eastAsia="仿宋" w:cs="仿宋"/>
          <w:spacing w:val="-2"/>
          <w:sz w:val="32"/>
          <w:szCs w:val="32"/>
        </w:rPr>
        <w:t>联系人：孙川</w:t>
      </w:r>
      <w:r>
        <w:rPr>
          <w:rFonts w:ascii="仿宋" w:hAnsi="仿宋" w:eastAsia="仿宋" w:cs="仿宋"/>
          <w:spacing w:val="3"/>
          <w:sz w:val="32"/>
          <w:szCs w:val="32"/>
        </w:rPr>
        <w:t xml:space="preserve">                  </w:t>
      </w:r>
      <w:r>
        <w:rPr>
          <w:rFonts w:ascii="仿宋" w:hAnsi="仿宋" w:eastAsia="仿宋" w:cs="仿宋"/>
          <w:spacing w:val="-2"/>
          <w:sz w:val="32"/>
          <w:szCs w:val="32"/>
        </w:rPr>
        <w:t>联系电话：0533-696771</w:t>
      </w:r>
      <w:r>
        <w:rPr>
          <w:rFonts w:ascii="仿宋" w:hAnsi="仿宋" w:eastAsia="仿宋" w:cs="仿宋"/>
          <w:spacing w:val="-3"/>
          <w:sz w:val="32"/>
          <w:szCs w:val="32"/>
        </w:rPr>
        <w:t>0。</w:t>
      </w: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640" w:firstLineChars="200"/>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640" w:firstLineChars="200"/>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640" w:firstLineChars="200"/>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640" w:firstLineChars="200"/>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640" w:firstLineChars="200"/>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3" w:line="262" w:lineRule="auto"/>
        <w:ind w:right="1157"/>
        <w:jc w:val="right"/>
        <w:textAlignment w:val="baseline"/>
        <w:rPr>
          <w:rFonts w:ascii="仿宋" w:hAnsi="仿宋" w:eastAsia="仿宋" w:cs="仿宋"/>
          <w:spacing w:val="-1"/>
          <w:sz w:val="32"/>
          <w:szCs w:val="32"/>
        </w:rPr>
      </w:pPr>
      <w:r>
        <w:rPr>
          <w:rFonts w:hint="eastAsia" w:ascii="仿宋" w:hAnsi="仿宋" w:eastAsia="仿宋" w:cs="仿宋"/>
          <w:spacing w:val="-1"/>
          <w:sz w:val="32"/>
          <w:szCs w:val="32"/>
          <w:lang w:eastAsia="zh-CN"/>
        </w:rPr>
        <w:t>高青县</w:t>
      </w:r>
      <w:r>
        <w:rPr>
          <w:rFonts w:ascii="仿宋" w:hAnsi="仿宋" w:eastAsia="仿宋" w:cs="仿宋"/>
          <w:spacing w:val="-1"/>
          <w:sz w:val="32"/>
          <w:szCs w:val="32"/>
        </w:rPr>
        <w:t>人民政府</w:t>
      </w:r>
    </w:p>
    <w:p>
      <w:pPr>
        <w:keepNext w:val="0"/>
        <w:keepLines w:val="0"/>
        <w:pageBreakBefore w:val="0"/>
        <w:widowControl/>
        <w:kinsoku w:val="0"/>
        <w:wordWrap/>
        <w:overflowPunct/>
        <w:topLinePunct w:val="0"/>
        <w:autoSpaceDE w:val="0"/>
        <w:autoSpaceDN w:val="0"/>
        <w:bidi w:val="0"/>
        <w:adjustRightInd w:val="0"/>
        <w:snapToGrid w:val="0"/>
        <w:spacing w:before="73" w:line="262" w:lineRule="auto"/>
        <w:ind w:right="1157"/>
        <w:jc w:val="right"/>
        <w:textAlignment w:val="baseline"/>
        <w:rPr>
          <w:rFonts w:ascii="仿宋" w:hAnsi="仿宋" w:eastAsia="仿宋" w:cs="仿宋"/>
          <w:sz w:val="32"/>
          <w:szCs w:val="32"/>
        </w:rPr>
      </w:pPr>
      <w:r>
        <w:rPr>
          <w:rFonts w:ascii="仿宋" w:hAnsi="仿宋" w:eastAsia="仿宋" w:cs="仿宋"/>
          <w:spacing w:val="23"/>
          <w:sz w:val="32"/>
          <w:szCs w:val="32"/>
        </w:rPr>
        <w:t>2023年7月18日</w:t>
      </w:r>
    </w:p>
    <w:sectPr>
      <w:pgSz w:w="11900" w:h="16820"/>
      <w:pgMar w:top="1393" w:right="929" w:bottom="0" w:left="10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EwZjE0MWUwYjU1YTIwOTEzZTE4MjVmNWRmMmU2NWUifQ=="/>
  </w:docVars>
  <w:rsids>
    <w:rsidRoot w:val="00000000"/>
    <w:rsid w:val="42CA6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2023-08-13T10:10:00Z</dcterms:created>
  <dc:creator>Kingsoft-PDF</dc:creator>
  <cp:lastModifiedBy>丘耳金刀</cp:lastModifiedBy>
  <dcterms:modified xsi:type="dcterms:W3CDTF">2023-08-13T02:24:37Z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2023-08-13T10:10:42Z</vt:filetime>
  </property>
  <property fmtid="{D5CDD505-2E9C-101B-9397-08002B2CF9AE}" pid="4" name="UsrData">
    <vt:lpwstr>64d83b9add0b8d001f6a07dd</vt:lpwstr>
  </property>
  <property fmtid="{D5CDD505-2E9C-101B-9397-08002B2CF9AE}" pid="5" name="KSOProductBuildVer">
    <vt:lpwstr>2052-12.1.0.15120</vt:lpwstr>
  </property>
  <property fmtid="{D5CDD505-2E9C-101B-9397-08002B2CF9AE}" pid="6" name="ICV">
    <vt:lpwstr>72788109D53E4168B4600274F96542AC_12</vt:lpwstr>
  </property>
</Properties>
</file>